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1CF" w14:textId="5745D2D8" w:rsidR="00462011" w:rsidRDefault="00462011"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35D0B9C3" wp14:editId="6DFA6359">
            <wp:simplePos x="0" y="0"/>
            <wp:positionH relativeFrom="column">
              <wp:posOffset>-569798</wp:posOffset>
            </wp:positionH>
            <wp:positionV relativeFrom="paragraph">
              <wp:posOffset>-526189</wp:posOffset>
            </wp:positionV>
            <wp:extent cx="6687185" cy="2158365"/>
            <wp:effectExtent l="0" t="0" r="0" b="0"/>
            <wp:wrapNone/>
            <wp:docPr id="2101460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6017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8365"/>
                    </a:xfrm>
                    <a:prstGeom prst="rect">
                      <a:avLst/>
                    </a:prstGeom>
                  </pic:spPr>
                </pic:pic>
              </a:graphicData>
            </a:graphic>
            <wp14:sizeRelH relativeFrom="margin">
              <wp14:pctWidth>0</wp14:pctWidth>
            </wp14:sizeRelH>
            <wp14:sizeRelV relativeFrom="margin">
              <wp14:pctHeight>0</wp14:pctHeight>
            </wp14:sizeRelV>
          </wp:anchor>
        </w:drawing>
      </w:r>
    </w:p>
    <w:p w14:paraId="33A3B9C7" w14:textId="6622A79A" w:rsidR="00462011" w:rsidRDefault="00462011" w:rsidP="003C2E98">
      <w:pPr>
        <w:spacing w:after="0"/>
        <w:jc w:val="center"/>
        <w:rPr>
          <w:rFonts w:ascii="Century Gothic" w:hAnsi="Century Gothic" w:cs="Calibri"/>
          <w:b/>
          <w:bCs/>
          <w:color w:val="002060"/>
          <w:sz w:val="32"/>
          <w:szCs w:val="32"/>
        </w:rPr>
      </w:pPr>
    </w:p>
    <w:p w14:paraId="285DC76E" w14:textId="741599DD" w:rsidR="003C2E98" w:rsidRDefault="003C2E98" w:rsidP="003C2E98">
      <w:pPr>
        <w:spacing w:after="0"/>
        <w:jc w:val="center"/>
        <w:rPr>
          <w:rFonts w:ascii="Century Gothic" w:hAnsi="Century Gothic" w:cs="Calibri"/>
          <w:b/>
          <w:bCs/>
          <w:color w:val="002060"/>
          <w:sz w:val="32"/>
          <w:szCs w:val="32"/>
        </w:rPr>
      </w:pPr>
    </w:p>
    <w:p w14:paraId="2992652B" w14:textId="77777777" w:rsidR="00462011" w:rsidRDefault="00462011" w:rsidP="003C2E98">
      <w:pPr>
        <w:spacing w:after="0"/>
        <w:jc w:val="center"/>
        <w:rPr>
          <w:rFonts w:ascii="Century Gothic" w:hAnsi="Century Gothic" w:cs="Calibri"/>
          <w:b/>
          <w:bCs/>
          <w:color w:val="002060"/>
          <w:sz w:val="32"/>
          <w:szCs w:val="32"/>
        </w:rPr>
      </w:pPr>
    </w:p>
    <w:p w14:paraId="5FBFA3D1" w14:textId="00079129" w:rsidR="00462011" w:rsidRDefault="00462011" w:rsidP="003C2E98">
      <w:pPr>
        <w:spacing w:after="0"/>
        <w:jc w:val="center"/>
        <w:rPr>
          <w:rFonts w:ascii="Century Gothic" w:hAnsi="Century Gothic" w:cs="Calibri"/>
          <w:b/>
          <w:bCs/>
          <w:color w:val="002060"/>
          <w:sz w:val="32"/>
          <w:szCs w:val="32"/>
        </w:rPr>
      </w:pPr>
    </w:p>
    <w:p w14:paraId="5048B526" w14:textId="77777777" w:rsidR="00462011" w:rsidRDefault="00462011" w:rsidP="003C2E98">
      <w:pPr>
        <w:spacing w:after="0"/>
        <w:jc w:val="center"/>
        <w:rPr>
          <w:rFonts w:ascii="Century Gothic" w:hAnsi="Century Gothic" w:cs="Calibri"/>
          <w:b/>
          <w:bCs/>
          <w:color w:val="002060"/>
          <w:sz w:val="32"/>
          <w:szCs w:val="32"/>
        </w:rPr>
      </w:pPr>
    </w:p>
    <w:p w14:paraId="72E4EB7E" w14:textId="44F0F73D" w:rsidR="00462011" w:rsidRDefault="00462011" w:rsidP="003C2E98">
      <w:pPr>
        <w:spacing w:after="0"/>
        <w:jc w:val="center"/>
        <w:rPr>
          <w:rFonts w:ascii="Century Gothic" w:hAnsi="Century Gothic" w:cs="Calibri"/>
          <w:b/>
          <w:bCs/>
          <w:color w:val="002060"/>
          <w:sz w:val="32"/>
          <w:szCs w:val="32"/>
        </w:rPr>
      </w:pPr>
    </w:p>
    <w:p w14:paraId="1ECFFC7D" w14:textId="27BB0FC6" w:rsidR="00462011"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VISITANDO: TORONTO, CATARATAS DEL NI</w:t>
      </w:r>
      <w:r w:rsidR="00502908">
        <w:rPr>
          <w:rFonts w:ascii="Century Gothic" w:hAnsi="Century Gothic" w:cs="Calibri"/>
          <w:b/>
          <w:bCs/>
          <w:color w:val="002060"/>
          <w:sz w:val="32"/>
          <w:szCs w:val="32"/>
        </w:rPr>
        <w:t>Á</w:t>
      </w:r>
      <w:r>
        <w:rPr>
          <w:rFonts w:ascii="Century Gothic" w:hAnsi="Century Gothic" w:cs="Calibri"/>
          <w:b/>
          <w:bCs/>
          <w:color w:val="002060"/>
          <w:sz w:val="32"/>
          <w:szCs w:val="32"/>
        </w:rPr>
        <w:t xml:space="preserve">GARA, OTTAWA, </w:t>
      </w:r>
      <w:r w:rsidRPr="00462011">
        <w:rPr>
          <w:rFonts w:ascii="Century Gothic" w:hAnsi="Century Gothic" w:cs="Calibri"/>
          <w:b/>
          <w:bCs/>
          <w:color w:val="002060"/>
          <w:sz w:val="32"/>
          <w:szCs w:val="32"/>
        </w:rPr>
        <w:t>MONT-TREMBLANT</w:t>
      </w:r>
      <w:r>
        <w:rPr>
          <w:rFonts w:ascii="Century Gothic" w:hAnsi="Century Gothic" w:cs="Calibri"/>
          <w:b/>
          <w:bCs/>
          <w:color w:val="002060"/>
          <w:sz w:val="32"/>
          <w:szCs w:val="32"/>
        </w:rPr>
        <w:t>, QUEBEC Y MONTREAL</w:t>
      </w:r>
    </w:p>
    <w:p w14:paraId="5BB84B91" w14:textId="2C1612F0" w:rsidR="00857066"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3C2E98">
        <w:rPr>
          <w:rFonts w:ascii="Century Gothic" w:hAnsi="Century Gothic" w:cs="Calibri"/>
          <w:b/>
          <w:bCs/>
          <w:color w:val="002060"/>
          <w:sz w:val="32"/>
          <w:szCs w:val="32"/>
        </w:rPr>
        <w:t xml:space="preserve"> NOCHES</w:t>
      </w:r>
    </w:p>
    <w:p w14:paraId="796A1609" w14:textId="77777777" w:rsidR="00462011" w:rsidRDefault="00462011" w:rsidP="009D0B06">
      <w:pPr>
        <w:pStyle w:val="itinerario"/>
      </w:pPr>
      <w:r w:rsidRPr="00462011">
        <w:t xml:space="preserve">Toronto, una metrópoli vibrante y multicultural, ofrece desde la Torre CN hasta una rica oferta cultural. Las Cataratas del Niágara, una maravilla natural, cautivan con su imponente caída de agua. Ottawa, la capital de Canadá, destaca por su historia, el Parlamento y el Canal Rideau, mientras que Mont-Tremblant es un destino perfecto para deportes de invierno y naturaleza. Quebec, con su casco antiguo de arquitectura colonial francesa, transporta a los visitantes al pasado, y Montreal fusiona lo europeo y lo norteamericano, siendo famosa por su gastronomía, vida nocturna y eventos culturales. Cada ciudad ofrece una experiencia única, desde historia y naturaleza hasta modernidad y cultura. </w:t>
      </w:r>
    </w:p>
    <w:p w14:paraId="05D57987" w14:textId="75A91539" w:rsidR="003C2E98" w:rsidRDefault="003C2E98"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6201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462011">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46201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13BC9928" w:rsidR="00EA5D5F" w:rsidRPr="0021080F" w:rsidRDefault="00462011" w:rsidP="00462011">
            <w:pPr>
              <w:pStyle w:val="dias"/>
              <w:spacing w:before="0"/>
              <w:rPr>
                <w:caps w:val="0"/>
                <w:color w:val="2F5496" w:themeColor="accent5" w:themeShade="BF"/>
                <w:sz w:val="20"/>
                <w:szCs w:val="20"/>
              </w:rPr>
            </w:pPr>
            <w:r w:rsidRPr="00462011">
              <w:rPr>
                <w:rFonts w:ascii="Century Gothic" w:hAnsi="Century Gothic" w:cstheme="minorHAnsi"/>
                <w:caps w:val="0"/>
                <w:color w:val="002060"/>
                <w:sz w:val="20"/>
                <w:szCs w:val="20"/>
              </w:rPr>
              <w:t>Abril</w:t>
            </w:r>
          </w:p>
        </w:tc>
        <w:tc>
          <w:tcPr>
            <w:tcW w:w="479" w:type="dxa"/>
            <w:tcBorders>
              <w:top w:val="single" w:sz="4" w:space="0" w:color="D9D9D9"/>
              <w:left w:val="single" w:sz="4" w:space="0" w:color="D9D9D9"/>
            </w:tcBorders>
            <w:vAlign w:val="center"/>
          </w:tcPr>
          <w:p w14:paraId="1C8A831C" w14:textId="083A40C1" w:rsidR="00EA5D5F"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79" w:type="dxa"/>
            <w:tcBorders>
              <w:top w:val="single" w:sz="4" w:space="0" w:color="D9D9D9"/>
            </w:tcBorders>
            <w:vAlign w:val="center"/>
          </w:tcPr>
          <w:p w14:paraId="08D484D2" w14:textId="46177821"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438450AB"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718F1639" w14:textId="77777777" w:rsidTr="00462011">
        <w:trPr>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52CDC655" w14:textId="3CEC38E8" w:rsidR="00462011" w:rsidRPr="0021080F" w:rsidRDefault="00462011" w:rsidP="00462011">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3B3E859E" w14:textId="24B941FA"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5</w:t>
            </w:r>
          </w:p>
        </w:tc>
        <w:tc>
          <w:tcPr>
            <w:tcW w:w="479" w:type="dxa"/>
            <w:tcBorders>
              <w:top w:val="single" w:sz="4" w:space="0" w:color="D9D9D9"/>
            </w:tcBorders>
            <w:vAlign w:val="center"/>
          </w:tcPr>
          <w:p w14:paraId="6898D6F6" w14:textId="0D1A6571"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12</w:t>
            </w:r>
          </w:p>
        </w:tc>
        <w:tc>
          <w:tcPr>
            <w:tcW w:w="479" w:type="dxa"/>
            <w:tcBorders>
              <w:top w:val="single" w:sz="4" w:space="0" w:color="D9D9D9"/>
            </w:tcBorders>
            <w:vAlign w:val="center"/>
          </w:tcPr>
          <w:p w14:paraId="4A7B9008" w14:textId="7CE1EC36"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19</w:t>
            </w:r>
          </w:p>
        </w:tc>
        <w:tc>
          <w:tcPr>
            <w:tcW w:w="479" w:type="dxa"/>
            <w:tcBorders>
              <w:top w:val="single" w:sz="4" w:space="0" w:color="D9D9D9"/>
            </w:tcBorders>
            <w:vAlign w:val="center"/>
          </w:tcPr>
          <w:p w14:paraId="015155A2" w14:textId="022FCA88"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26</w:t>
            </w:r>
          </w:p>
        </w:tc>
        <w:tc>
          <w:tcPr>
            <w:tcW w:w="480" w:type="dxa"/>
            <w:tcBorders>
              <w:top w:val="single" w:sz="4" w:space="0" w:color="D9D9D9"/>
            </w:tcBorders>
            <w:vAlign w:val="center"/>
          </w:tcPr>
          <w:p w14:paraId="284EC959"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4F393196" w14:textId="77777777" w:rsidTr="0046201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462011" w:rsidRPr="0021080F" w:rsidRDefault="00462011" w:rsidP="00462011">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6E16D4E"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w:t>
            </w:r>
          </w:p>
        </w:tc>
        <w:tc>
          <w:tcPr>
            <w:tcW w:w="479" w:type="dxa"/>
            <w:vAlign w:val="center"/>
          </w:tcPr>
          <w:p w14:paraId="230C5683" w14:textId="204D1760"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9</w:t>
            </w:r>
          </w:p>
        </w:tc>
        <w:tc>
          <w:tcPr>
            <w:tcW w:w="479" w:type="dxa"/>
            <w:vAlign w:val="center"/>
          </w:tcPr>
          <w:p w14:paraId="2B5F9AC9" w14:textId="68ABDBE2"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16</w:t>
            </w:r>
          </w:p>
        </w:tc>
        <w:tc>
          <w:tcPr>
            <w:tcW w:w="479" w:type="dxa"/>
            <w:vAlign w:val="center"/>
          </w:tcPr>
          <w:p w14:paraId="0DC1D788" w14:textId="6158818C"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23</w:t>
            </w:r>
          </w:p>
        </w:tc>
        <w:tc>
          <w:tcPr>
            <w:tcW w:w="480" w:type="dxa"/>
            <w:vAlign w:val="center"/>
          </w:tcPr>
          <w:p w14:paraId="702825A6" w14:textId="1B6EB1B3"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30</w:t>
            </w:r>
          </w:p>
        </w:tc>
      </w:tr>
      <w:tr w:rsidR="00462011" w:rsidRPr="00395C83" w14:paraId="4A736E2D"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82A65F5"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7</w:t>
            </w:r>
          </w:p>
        </w:tc>
        <w:tc>
          <w:tcPr>
            <w:tcW w:w="479" w:type="dxa"/>
            <w:vAlign w:val="center"/>
          </w:tcPr>
          <w:p w14:paraId="63BAC480" w14:textId="636C868F"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14</w:t>
            </w:r>
          </w:p>
        </w:tc>
        <w:tc>
          <w:tcPr>
            <w:tcW w:w="479" w:type="dxa"/>
            <w:vAlign w:val="center"/>
          </w:tcPr>
          <w:p w14:paraId="0F11585E" w14:textId="3A3A2ACB"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21</w:t>
            </w:r>
          </w:p>
        </w:tc>
        <w:tc>
          <w:tcPr>
            <w:tcW w:w="479" w:type="dxa"/>
            <w:vAlign w:val="center"/>
          </w:tcPr>
          <w:p w14:paraId="2777B6E9" w14:textId="61457F83"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28</w:t>
            </w:r>
          </w:p>
        </w:tc>
        <w:tc>
          <w:tcPr>
            <w:tcW w:w="480" w:type="dxa"/>
            <w:vAlign w:val="center"/>
          </w:tcPr>
          <w:p w14:paraId="7F9D23CD" w14:textId="390F1BF3"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43770168"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5B923950"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4</w:t>
            </w:r>
          </w:p>
        </w:tc>
        <w:tc>
          <w:tcPr>
            <w:tcW w:w="479" w:type="dxa"/>
            <w:vAlign w:val="center"/>
          </w:tcPr>
          <w:p w14:paraId="70CFF83D" w14:textId="055B3D65"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11</w:t>
            </w:r>
          </w:p>
        </w:tc>
        <w:tc>
          <w:tcPr>
            <w:tcW w:w="479" w:type="dxa"/>
            <w:vAlign w:val="center"/>
          </w:tcPr>
          <w:p w14:paraId="757323A2" w14:textId="27E81A15"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18</w:t>
            </w:r>
          </w:p>
        </w:tc>
        <w:tc>
          <w:tcPr>
            <w:tcW w:w="479" w:type="dxa"/>
            <w:vAlign w:val="center"/>
          </w:tcPr>
          <w:p w14:paraId="5D2AF835" w14:textId="62E6E06A"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25</w:t>
            </w:r>
          </w:p>
        </w:tc>
        <w:tc>
          <w:tcPr>
            <w:tcW w:w="480" w:type="dxa"/>
            <w:vAlign w:val="center"/>
          </w:tcPr>
          <w:p w14:paraId="5D5C92C2" w14:textId="68CBB63A"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068E2826"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4EDBDF0"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w:t>
            </w:r>
          </w:p>
        </w:tc>
        <w:tc>
          <w:tcPr>
            <w:tcW w:w="479" w:type="dxa"/>
            <w:vAlign w:val="center"/>
          </w:tcPr>
          <w:p w14:paraId="79C87925" w14:textId="05941B95"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8</w:t>
            </w:r>
          </w:p>
        </w:tc>
        <w:tc>
          <w:tcPr>
            <w:tcW w:w="479" w:type="dxa"/>
            <w:vAlign w:val="center"/>
          </w:tcPr>
          <w:p w14:paraId="1ADC86F1" w14:textId="09A99844"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15</w:t>
            </w:r>
          </w:p>
        </w:tc>
        <w:tc>
          <w:tcPr>
            <w:tcW w:w="479" w:type="dxa"/>
            <w:vAlign w:val="center"/>
          </w:tcPr>
          <w:p w14:paraId="193180D4" w14:textId="0D2C7069"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22</w:t>
            </w:r>
          </w:p>
        </w:tc>
        <w:tc>
          <w:tcPr>
            <w:tcW w:w="480" w:type="dxa"/>
            <w:vAlign w:val="center"/>
          </w:tcPr>
          <w:p w14:paraId="712A806F" w14:textId="7CE121CA"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29</w:t>
            </w:r>
          </w:p>
        </w:tc>
      </w:tr>
      <w:tr w:rsidR="00462011" w:rsidRPr="00395C83" w14:paraId="1CCB789E"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10F13D3B"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6</w:t>
            </w:r>
          </w:p>
        </w:tc>
        <w:tc>
          <w:tcPr>
            <w:tcW w:w="479" w:type="dxa"/>
            <w:vAlign w:val="center"/>
          </w:tcPr>
          <w:p w14:paraId="5F31146F" w14:textId="0E050DED"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13</w:t>
            </w:r>
          </w:p>
        </w:tc>
        <w:tc>
          <w:tcPr>
            <w:tcW w:w="479" w:type="dxa"/>
            <w:vAlign w:val="center"/>
          </w:tcPr>
          <w:p w14:paraId="78E9D7C4"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59C6687B"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104F802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bottom w:val="single" w:sz="4" w:space="0" w:color="D9D9D9"/>
            </w:tcBorders>
            <w:vAlign w:val="center"/>
          </w:tcPr>
          <w:p w14:paraId="45757A63"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524658B5"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462011" w:rsidRPr="00B32071" w:rsidRDefault="00462011" w:rsidP="00462011">
            <w:pPr>
              <w:rPr>
                <w:rFonts w:ascii="Calibri" w:hAnsi="Calibri" w:cs="Calibri"/>
                <w:lang w:val="pt-BR" w:bidi="hi-IN"/>
              </w:rPr>
            </w:pPr>
            <w:r w:rsidRPr="00B32071">
              <w:rPr>
                <w:rFonts w:ascii="Century Gothic" w:hAnsi="Century Gothic" w:cstheme="minorHAnsi"/>
                <w:color w:val="0C4870"/>
                <w:sz w:val="20"/>
                <w:szCs w:val="20"/>
              </w:rPr>
              <w:t>SALIDAS 2026</w:t>
            </w:r>
          </w:p>
        </w:tc>
      </w:tr>
      <w:tr w:rsidR="00462011" w:rsidRPr="00395C83" w14:paraId="771F0D7F" w14:textId="77777777" w:rsidTr="00462011">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462011" w:rsidRPr="002D0CDA" w:rsidRDefault="00462011" w:rsidP="00462011">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5748BA73" w:rsidR="00462011" w:rsidRPr="00FD5945"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tcBorders>
              <w:top w:val="single" w:sz="4" w:space="0" w:color="D9D9D9"/>
            </w:tcBorders>
            <w:vAlign w:val="center"/>
          </w:tcPr>
          <w:p w14:paraId="11944B80" w14:textId="5B87849F" w:rsidR="00462011" w:rsidRPr="00FD5945"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21337D" w14:textId="77777777" w:rsidR="00462011" w:rsidRPr="00FD5945"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462011" w:rsidRPr="001D7A7C"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462011" w:rsidRPr="001D7A7C"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462011" w:rsidRPr="00395C83" w14:paraId="2C8532A4" w14:textId="77777777" w:rsidTr="0046201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462011" w:rsidRPr="002D0CDA" w:rsidRDefault="00462011" w:rsidP="00462011">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261AD565" w:rsidR="00462011" w:rsidRPr="00FD5945"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tcBorders>
              <w:bottom w:val="single" w:sz="4" w:space="0" w:color="D9D9D9"/>
            </w:tcBorders>
            <w:vAlign w:val="center"/>
          </w:tcPr>
          <w:p w14:paraId="727E6029" w14:textId="1C25BABA" w:rsidR="00462011" w:rsidRPr="00FD5945"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11AEAD48" w:rsidR="00462011" w:rsidRPr="00FD5945"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7777777" w:rsidR="00462011" w:rsidRPr="001D7A7C"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462011" w:rsidRPr="001D7A7C"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61112E66" w14:textId="67D069B6" w:rsidR="00462011" w:rsidRDefault="00462011" w:rsidP="009D0B06">
      <w:pPr>
        <w:pStyle w:val="itinerario"/>
      </w:pPr>
      <w:r>
        <w:rPr>
          <w:rFonts w:ascii="Arial"/>
          <w:b/>
          <w:noProof/>
        </w:rPr>
        <w:drawing>
          <wp:anchor distT="0" distB="0" distL="114300" distR="114300" simplePos="0" relativeHeight="251661313" behindDoc="0" locked="0" layoutInCell="1" allowOverlap="1" wp14:anchorId="20205930" wp14:editId="63B2CB26">
            <wp:simplePos x="0" y="0"/>
            <wp:positionH relativeFrom="column">
              <wp:posOffset>2622344</wp:posOffset>
            </wp:positionH>
            <wp:positionV relativeFrom="paragraph">
              <wp:posOffset>120751</wp:posOffset>
            </wp:positionV>
            <wp:extent cx="2939543" cy="2159635"/>
            <wp:effectExtent l="0" t="0" r="0" b="0"/>
            <wp:wrapNone/>
            <wp:docPr id="2050203626" name="Image 519"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50203626" name="Image 519"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42949" cy="2162137"/>
                    </a:xfrm>
                    <a:prstGeom prst="rect">
                      <a:avLst/>
                    </a:prstGeom>
                  </pic:spPr>
                </pic:pic>
              </a:graphicData>
            </a:graphic>
            <wp14:sizeRelH relativeFrom="margin">
              <wp14:pctWidth>0</wp14:pctWidth>
            </wp14:sizeRelH>
            <wp14:sizeRelV relativeFrom="margin">
              <wp14:pctHeight>0</wp14:pctHeight>
            </wp14:sizeRelV>
          </wp:anchor>
        </w:drawing>
      </w:r>
    </w:p>
    <w:p w14:paraId="5E24FE77" w14:textId="2892E588" w:rsidR="00462011" w:rsidRPr="00462011" w:rsidRDefault="00462011" w:rsidP="00462011">
      <w:pPr>
        <w:rPr>
          <w:lang w:bidi="hi-IN"/>
        </w:rPr>
      </w:pPr>
    </w:p>
    <w:p w14:paraId="447D8EA3" w14:textId="42B935B5" w:rsidR="00462011" w:rsidRDefault="00462011" w:rsidP="009D0B06">
      <w:pPr>
        <w:pStyle w:val="itinerario"/>
      </w:pPr>
    </w:p>
    <w:p w14:paraId="68944A84" w14:textId="77777777" w:rsidR="00462011" w:rsidRDefault="00462011" w:rsidP="009D0B06">
      <w:pPr>
        <w:pStyle w:val="itinerario"/>
      </w:pPr>
    </w:p>
    <w:p w14:paraId="51C35B50" w14:textId="6C6E8AD1" w:rsidR="00753C08" w:rsidRDefault="00462011" w:rsidP="00462011">
      <w:pPr>
        <w:pStyle w:val="itinerario"/>
        <w:jc w:val="center"/>
      </w:pPr>
      <w:r>
        <w:br w:type="textWrapping" w:clear="all"/>
      </w: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0D617620" w14:textId="77777777" w:rsidR="007A0FC8" w:rsidRDefault="007A0FC8" w:rsidP="009D0B06">
      <w:pPr>
        <w:pStyle w:val="itinerario"/>
      </w:pPr>
    </w:p>
    <w:p w14:paraId="506E10C2" w14:textId="77777777" w:rsidR="000F2AA3" w:rsidRDefault="000F2AA3" w:rsidP="009D0B06">
      <w:pPr>
        <w:pStyle w:val="itinerario"/>
      </w:pPr>
    </w:p>
    <w:p w14:paraId="0B179B48" w14:textId="77777777" w:rsidR="000F2AA3" w:rsidRDefault="000F2AA3"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23DCBEB5" w14:textId="06F4C8C0" w:rsidR="00445E07" w:rsidRDefault="00445E07" w:rsidP="00445E07">
      <w:pPr>
        <w:pStyle w:val="vinetas"/>
        <w:ind w:left="714" w:hanging="357"/>
        <w:jc w:val="both"/>
      </w:pPr>
      <w:r>
        <w:t xml:space="preserve">Traslado aeropuerto – hotel – aeropuerto, en servicio compartido. </w:t>
      </w:r>
    </w:p>
    <w:p w14:paraId="043CFE3A" w14:textId="791B3568" w:rsidR="005B5D1B" w:rsidRDefault="005B5D1B" w:rsidP="00445E07">
      <w:pPr>
        <w:pStyle w:val="vinetas"/>
        <w:ind w:left="714" w:hanging="357"/>
        <w:jc w:val="both"/>
      </w:pPr>
      <w:r>
        <w:t>Transporte terrestre como lo indica el itinerario:</w:t>
      </w:r>
      <w:r w:rsidR="00462011">
        <w:t xml:space="preserve"> Toronto – Cataratas del Niagara – Ottawa – </w:t>
      </w:r>
      <w:r w:rsidR="00462011" w:rsidRPr="00462011">
        <w:t>M</w:t>
      </w:r>
      <w:r w:rsidR="00445E07">
        <w:t>ont</w:t>
      </w:r>
      <w:r w:rsidR="00462011">
        <w:t xml:space="preserve"> </w:t>
      </w:r>
      <w:r w:rsidR="00462011" w:rsidRPr="00462011">
        <w:t>Tremblant</w:t>
      </w:r>
      <w:r w:rsidR="00462011">
        <w:t xml:space="preserve"> </w:t>
      </w:r>
      <w:r w:rsidR="00445E07">
        <w:t>–</w:t>
      </w:r>
      <w:r w:rsidR="00462011">
        <w:t xml:space="preserve"> </w:t>
      </w:r>
      <w:r w:rsidR="00445E07">
        <w:t>Quebec – Montreal</w:t>
      </w:r>
      <w:r>
        <w:t>.</w:t>
      </w:r>
    </w:p>
    <w:p w14:paraId="7ABE281C" w14:textId="48834C1D" w:rsidR="00445E07" w:rsidRDefault="00445E07" w:rsidP="00445E07">
      <w:pPr>
        <w:pStyle w:val="vinetas"/>
        <w:ind w:left="714" w:hanging="357"/>
        <w:jc w:val="both"/>
      </w:pPr>
      <w:r>
        <w:t>1 noche de alojamiento en Toronto en el hotel indicado o similar.</w:t>
      </w:r>
    </w:p>
    <w:p w14:paraId="13127A78" w14:textId="77777777" w:rsidR="00445E07" w:rsidRDefault="00445E07" w:rsidP="00445E07">
      <w:pPr>
        <w:pStyle w:val="vinetas"/>
        <w:ind w:left="714" w:hanging="357"/>
        <w:jc w:val="both"/>
      </w:pPr>
      <w:r>
        <w:t>1 noche de alojamiento en Niágara en el hotel indicado o similar.</w:t>
      </w:r>
    </w:p>
    <w:p w14:paraId="7CACF3F0" w14:textId="1BA678F7" w:rsidR="00A603A9" w:rsidRDefault="00A603A9" w:rsidP="00A603A9">
      <w:pPr>
        <w:pStyle w:val="vinetas"/>
        <w:ind w:left="714" w:hanging="357"/>
        <w:jc w:val="both"/>
      </w:pPr>
      <w:r>
        <w:t>1 noche de alojamiento en Ottawa (Hull) en el hotel indicado o similar.</w:t>
      </w:r>
    </w:p>
    <w:p w14:paraId="3A2C6A16" w14:textId="7B060D56" w:rsidR="00445E07" w:rsidRDefault="00445E07" w:rsidP="00445E07">
      <w:pPr>
        <w:pStyle w:val="vinetas"/>
        <w:ind w:left="714" w:hanging="357"/>
        <w:jc w:val="both"/>
      </w:pPr>
      <w:r>
        <w:t>1 noche de alojamiento en Mont Tremblant en el hotel indicado o similar.</w:t>
      </w:r>
    </w:p>
    <w:p w14:paraId="63A049C0" w14:textId="52E55EB4" w:rsidR="00445E07" w:rsidRDefault="00445E07" w:rsidP="00445E07">
      <w:pPr>
        <w:pStyle w:val="vinetas"/>
        <w:ind w:left="714" w:hanging="357"/>
        <w:jc w:val="both"/>
      </w:pPr>
      <w:r>
        <w:t>2 noches de alojamiento en Quebec en el hotel indicado o similar.</w:t>
      </w:r>
    </w:p>
    <w:p w14:paraId="660F4010" w14:textId="5C7B6D7A" w:rsidR="00445E07" w:rsidRDefault="00A603A9" w:rsidP="00A96B8B">
      <w:pPr>
        <w:pStyle w:val="vinetas"/>
      </w:pPr>
      <w:r>
        <w:t>1</w:t>
      </w:r>
      <w:r w:rsidR="00445E07">
        <w:t xml:space="preserve"> noche de alojamiento en Montreal en el hotel indicado o similar.</w:t>
      </w:r>
    </w:p>
    <w:p w14:paraId="4D5F9B56" w14:textId="15BFFD83" w:rsidR="00445E07" w:rsidRDefault="00445E07" w:rsidP="00445E07">
      <w:pPr>
        <w:pStyle w:val="vinetas"/>
        <w:ind w:left="714" w:hanging="357"/>
        <w:jc w:val="both"/>
      </w:pPr>
      <w:r>
        <w:t>6 desayunos americanos.</w:t>
      </w:r>
    </w:p>
    <w:p w14:paraId="67D71BBD" w14:textId="77777777" w:rsidR="00445E07" w:rsidRDefault="00445E07" w:rsidP="00445E07">
      <w:pPr>
        <w:pStyle w:val="vinetas"/>
        <w:ind w:left="714" w:hanging="357"/>
        <w:jc w:val="both"/>
      </w:pPr>
      <w:r>
        <w:t>1 desayuno continental en Niágara.</w:t>
      </w:r>
    </w:p>
    <w:p w14:paraId="191BEAEB" w14:textId="77777777" w:rsidR="00166B80" w:rsidRDefault="00166B80" w:rsidP="00166B80">
      <w:pPr>
        <w:pStyle w:val="vinetas"/>
        <w:ind w:left="714" w:hanging="357"/>
        <w:jc w:val="both"/>
      </w:pPr>
      <w:r>
        <w:t>Visita panorámica de la ciudad de Toronto.</w:t>
      </w:r>
    </w:p>
    <w:p w14:paraId="24E63B72" w14:textId="77777777" w:rsidR="00445E07" w:rsidRDefault="00445E07" w:rsidP="00445E07">
      <w:pPr>
        <w:pStyle w:val="vinetas"/>
        <w:ind w:left="714" w:hanging="357"/>
        <w:jc w:val="both"/>
      </w:pPr>
      <w:r>
        <w:t xml:space="preserve">Incluye paseo en el barco </w:t>
      </w:r>
      <w:proofErr w:type="spellStart"/>
      <w:r>
        <w:t>Hornblower</w:t>
      </w:r>
      <w:proofErr w:type="spellEnd"/>
      <w:r>
        <w:t xml:space="preserve"> Niágara, en servicio compartido. (Opera de mayo a octubre). Fuera de temporada será sustituido por los túneles escénicos.</w:t>
      </w:r>
    </w:p>
    <w:p w14:paraId="7A5C62BA" w14:textId="77777777" w:rsidR="00445E07" w:rsidRDefault="00445E07" w:rsidP="00445E07">
      <w:pPr>
        <w:pStyle w:val="vinetas"/>
        <w:ind w:left="714" w:hanging="357"/>
        <w:jc w:val="both"/>
      </w:pPr>
      <w:r>
        <w:t xml:space="preserve">Paseo en barco por las Mil Islas, en servicio compartido. (Opera de mayo 01 a octubre 31). </w:t>
      </w:r>
      <w:bookmarkStart w:id="0" w:name="_Hlk159948044"/>
      <w:r w:rsidRPr="00D60FDB">
        <w:t>En invierno se hará el Museo de la Civilización en Ottawa</w:t>
      </w:r>
      <w:r>
        <w:t>.</w:t>
      </w:r>
      <w:bookmarkEnd w:id="0"/>
    </w:p>
    <w:p w14:paraId="34CB2D05" w14:textId="77777777" w:rsidR="00445E07" w:rsidRDefault="00445E07" w:rsidP="00445E07">
      <w:pPr>
        <w:pStyle w:val="vinetas"/>
        <w:ind w:left="714" w:hanging="357"/>
        <w:jc w:val="both"/>
      </w:pPr>
      <w:r>
        <w:t>Visita panorámica de la ciudad de Ottawa.</w:t>
      </w:r>
    </w:p>
    <w:p w14:paraId="6F9853A0" w14:textId="77777777" w:rsidR="00445E07" w:rsidRDefault="00445E07" w:rsidP="00445E07">
      <w:pPr>
        <w:pStyle w:val="vinetas"/>
        <w:ind w:left="714" w:hanging="357"/>
        <w:jc w:val="both"/>
      </w:pPr>
      <w:r>
        <w:t>Visita panorámica de la ciudad de Quebec.</w:t>
      </w:r>
    </w:p>
    <w:p w14:paraId="56505197" w14:textId="6B8F7227" w:rsidR="00445E07" w:rsidRDefault="00445E07" w:rsidP="00445E07">
      <w:pPr>
        <w:pStyle w:val="vinetas"/>
        <w:ind w:left="714" w:hanging="357"/>
        <w:jc w:val="both"/>
      </w:pPr>
      <w:r>
        <w:t>Visita panorámica de la ciudad de Montreal.</w:t>
      </w:r>
    </w:p>
    <w:p w14:paraId="04FFFD8E" w14:textId="77777777"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5DA8334A"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00E677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TORONTO</w:t>
      </w:r>
    </w:p>
    <w:p w14:paraId="00BFC5F4" w14:textId="77777777" w:rsidR="00166B80" w:rsidRPr="00166B80" w:rsidRDefault="00166B80" w:rsidP="00166B80">
      <w:pPr>
        <w:pStyle w:val="vinetas"/>
        <w:numPr>
          <w:ilvl w:val="0"/>
          <w:numId w:val="0"/>
        </w:numPr>
        <w:rPr>
          <w:color w:val="auto"/>
          <w:lang w:bidi="ar-SA"/>
        </w:rPr>
      </w:pPr>
      <w:r w:rsidRPr="00166B80">
        <w:rPr>
          <w:color w:val="auto"/>
          <w:lang w:bidi="ar-SA"/>
        </w:rPr>
        <w:t>A la llegada, recibimiento en el aeropuerto y traslado al hotel. Alojamiento.</w:t>
      </w:r>
    </w:p>
    <w:p w14:paraId="39A95427" w14:textId="3C39D3B9" w:rsidR="00475AB4" w:rsidRPr="00475AB4" w:rsidRDefault="00475AB4" w:rsidP="00475AB4">
      <w:pPr>
        <w:pStyle w:val="dias"/>
        <w:rPr>
          <w:b w:val="0"/>
          <w:bCs w:val="0"/>
          <w:caps w:val="0"/>
          <w:sz w:val="22"/>
          <w:szCs w:val="22"/>
        </w:rPr>
      </w:pPr>
      <w:r w:rsidRPr="00475AB4">
        <w:rPr>
          <w:caps w:val="0"/>
          <w:color w:val="002060"/>
          <w:sz w:val="22"/>
          <w:szCs w:val="22"/>
        </w:rPr>
        <w:t>NOTA:</w:t>
      </w:r>
      <w:r w:rsidRPr="00475AB4">
        <w:rPr>
          <w:b w:val="0"/>
          <w:bCs w:val="0"/>
          <w:caps w:val="0"/>
          <w:color w:val="002060"/>
          <w:sz w:val="22"/>
          <w:szCs w:val="22"/>
        </w:rPr>
        <w:t xml:space="preserve"> </w:t>
      </w:r>
      <w:r w:rsidRPr="00475AB4">
        <w:rPr>
          <w:b w:val="0"/>
          <w:bCs w:val="0"/>
          <w:caps w:val="0"/>
          <w:sz w:val="22"/>
          <w:szCs w:val="22"/>
        </w:rPr>
        <w:t xml:space="preserve">CHECK </w:t>
      </w:r>
      <w:r>
        <w:rPr>
          <w:b w:val="0"/>
          <w:bCs w:val="0"/>
          <w:caps w:val="0"/>
          <w:sz w:val="22"/>
          <w:szCs w:val="22"/>
        </w:rPr>
        <w:t>IN</w:t>
      </w:r>
      <w:r w:rsidRPr="00475AB4">
        <w:rPr>
          <w:b w:val="0"/>
          <w:bCs w:val="0"/>
          <w:caps w:val="0"/>
          <w:sz w:val="22"/>
          <w:szCs w:val="22"/>
        </w:rPr>
        <w:t xml:space="preserve"> del hotel deberá ser</w:t>
      </w:r>
      <w:r>
        <w:rPr>
          <w:b w:val="0"/>
          <w:bCs w:val="0"/>
          <w:caps w:val="0"/>
          <w:sz w:val="22"/>
          <w:szCs w:val="22"/>
        </w:rPr>
        <w:t xml:space="preserve"> después </w:t>
      </w:r>
      <w:r w:rsidRPr="00475AB4">
        <w:rPr>
          <w:b w:val="0"/>
          <w:bCs w:val="0"/>
          <w:caps w:val="0"/>
          <w:sz w:val="22"/>
          <w:szCs w:val="22"/>
        </w:rPr>
        <w:t>de las 1</w:t>
      </w:r>
      <w:r>
        <w:rPr>
          <w:b w:val="0"/>
          <w:bCs w:val="0"/>
          <w:caps w:val="0"/>
          <w:sz w:val="22"/>
          <w:szCs w:val="22"/>
        </w:rPr>
        <w:t>6</w:t>
      </w:r>
      <w:r w:rsidRPr="00475AB4">
        <w:rPr>
          <w:b w:val="0"/>
          <w:bCs w:val="0"/>
          <w:caps w:val="0"/>
          <w:sz w:val="22"/>
          <w:szCs w:val="22"/>
        </w:rPr>
        <w:t>:00 horas del mediodía.</w:t>
      </w:r>
    </w:p>
    <w:p w14:paraId="10451C42" w14:textId="77777777" w:rsidR="00166B80" w:rsidRDefault="00166B80"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4578CCBA" w14:textId="77777777" w:rsidR="00166B80"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 xml:space="preserve">TORONTO – CATARATAS DEL NIÁGARA </w:t>
      </w:r>
    </w:p>
    <w:p w14:paraId="7A2AC877" w14:textId="1B73E40B" w:rsidR="006D581F" w:rsidRDefault="00166B80" w:rsidP="001D6931">
      <w:pPr>
        <w:pStyle w:val="itinerario"/>
      </w:pPr>
      <w:r w:rsidRPr="00166B80">
        <w:t xml:space="preserve">Desayuno </w:t>
      </w:r>
      <w:r>
        <w:t>a</w:t>
      </w:r>
      <w:r w:rsidRPr="00166B80">
        <w:t>mericano.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w:t>
      </w:r>
      <w:r>
        <w:t xml:space="preserve"> </w:t>
      </w:r>
      <w:r w:rsidRPr="00166B80">
        <w:t xml:space="preserve">Luego partiremos hacia Niagara </w:t>
      </w:r>
      <w:r>
        <w:t>O</w:t>
      </w:r>
      <w:r w:rsidRPr="00166B80">
        <w:t xml:space="preserve">n </w:t>
      </w:r>
      <w:r>
        <w:t>T</w:t>
      </w:r>
      <w:r w:rsidRPr="00166B80">
        <w:t xml:space="preserve">he Lake, bellísimo pueblo, Antigua capital del Alto Canadá Tiempo libre para almorzar </w:t>
      </w:r>
      <w:r w:rsidRPr="00166B80">
        <w:rPr>
          <w:b/>
          <w:bCs/>
          <w:color w:val="002060"/>
        </w:rPr>
        <w:t>(no incluido)</w:t>
      </w:r>
      <w:r w:rsidRPr="00166B80">
        <w:t>. M</w:t>
      </w:r>
      <w:r>
        <w:t>á</w:t>
      </w:r>
      <w:r w:rsidRPr="00166B80">
        <w:t xml:space="preserve">s tarde continuamos el recorrido por la ruta del vino hasta llegar a las famosas cataratas del Niagara, donde navegaremos por el rio Niagara en el barco </w:t>
      </w:r>
      <w:proofErr w:type="spellStart"/>
      <w:r w:rsidRPr="00166B80">
        <w:t>Hornblower</w:t>
      </w:r>
      <w:proofErr w:type="spellEnd"/>
      <w:r>
        <w:t xml:space="preserve"> </w:t>
      </w:r>
      <w:r w:rsidRPr="00166B80">
        <w:rPr>
          <w:b/>
          <w:bCs/>
          <w:color w:val="002060"/>
        </w:rPr>
        <w:t>(mayo a octubre)</w:t>
      </w:r>
      <w:r w:rsidRPr="00166B80">
        <w:rPr>
          <w:color w:val="002060"/>
        </w:rPr>
        <w:t xml:space="preserve">, </w:t>
      </w:r>
      <w:r w:rsidRPr="00166B80">
        <w:t>que nos llevara hasta la misma caída de las cataratas. Alojamiento.</w:t>
      </w:r>
    </w:p>
    <w:p w14:paraId="6B751F50" w14:textId="77777777" w:rsidR="00166B80" w:rsidRDefault="00166B80" w:rsidP="001D6931">
      <w:pPr>
        <w:pStyle w:val="itinerario"/>
      </w:pPr>
    </w:p>
    <w:p w14:paraId="013DA2D0" w14:textId="2CD1CA37" w:rsidR="00166B80" w:rsidRPr="00166B80" w:rsidRDefault="00166B80" w:rsidP="00166B80">
      <w:pPr>
        <w:pStyle w:val="itinerario"/>
        <w:rPr>
          <w:lang w:val="es-419"/>
        </w:rPr>
      </w:pPr>
      <w:r w:rsidRPr="00166B80">
        <w:rPr>
          <w:b/>
          <w:color w:val="002060"/>
          <w:lang w:val="es-419"/>
        </w:rPr>
        <w:t>NOTA</w:t>
      </w:r>
      <w:r w:rsidRPr="00166B80">
        <w:rPr>
          <w:color w:val="002060"/>
          <w:lang w:val="es-419"/>
        </w:rPr>
        <w:t xml:space="preserve">: </w:t>
      </w:r>
      <w:r w:rsidRPr="00166B80">
        <w:rPr>
          <w:lang w:val="es-419"/>
        </w:rPr>
        <w:t xml:space="preserve">Fuera de temporada </w:t>
      </w:r>
      <w:r w:rsidRPr="00166B80">
        <w:rPr>
          <w:b/>
          <w:bCs/>
          <w:color w:val="002060"/>
          <w:lang w:val="es-419"/>
        </w:rPr>
        <w:t>(octubre a mayo)</w:t>
      </w:r>
      <w:r w:rsidRPr="00166B80">
        <w:rPr>
          <w:lang w:val="es-419"/>
        </w:rPr>
        <w:t xml:space="preserve">, el paseo en barco será sustituido por </w:t>
      </w:r>
      <w:r w:rsidRPr="00166B80">
        <w:t>los túneles escénicos</w:t>
      </w:r>
      <w:r w:rsidRPr="00166B80">
        <w:rPr>
          <w:lang w:val="es-419"/>
        </w:rPr>
        <w:t>.</w:t>
      </w:r>
    </w:p>
    <w:p w14:paraId="21071D13" w14:textId="77777777" w:rsidR="00166B80" w:rsidRPr="00166B80" w:rsidRDefault="00166B80" w:rsidP="001D6931">
      <w:pPr>
        <w:pStyle w:val="itinerario"/>
        <w:rPr>
          <w:lang w:val="es-419"/>
        </w:rPr>
      </w:pPr>
    </w:p>
    <w:p w14:paraId="615ACDE1" w14:textId="3B9367A3"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CATARATAS DEL NIÁGARA – MIL ISLAS – OTTAWA</w:t>
      </w:r>
    </w:p>
    <w:p w14:paraId="6739BBEE" w14:textId="37E6726B" w:rsidR="00974E9F" w:rsidRDefault="00481695" w:rsidP="00481695">
      <w:pPr>
        <w:pStyle w:val="vinetas"/>
        <w:numPr>
          <w:ilvl w:val="0"/>
          <w:numId w:val="0"/>
        </w:numPr>
        <w:ind w:firstLine="8"/>
        <w:jc w:val="both"/>
      </w:pPr>
      <w:r w:rsidRPr="00481695">
        <w:t>Desayuno</w:t>
      </w:r>
      <w:r>
        <w:t xml:space="preserve"> co</w:t>
      </w:r>
      <w:r w:rsidRPr="00481695">
        <w:t xml:space="preserve">ntinental. Durante nuestro viaje a la capital federal de Canadá tomaremos la auto ruta Transcanadiense, haremos una parada para hacer un paseo en barco en esta </w:t>
      </w:r>
      <w:r>
        <w:t>h</w:t>
      </w:r>
      <w:r w:rsidRPr="00481695">
        <w:t>ermosa región de veraneo del archipiélago de 1000 Islas</w:t>
      </w:r>
      <w:r>
        <w:t xml:space="preserve"> </w:t>
      </w:r>
      <w:r w:rsidRPr="00481695">
        <w:rPr>
          <w:b/>
          <w:bCs/>
          <w:color w:val="002060"/>
        </w:rPr>
        <w:t>(mayo 01 a octubre 31)</w:t>
      </w:r>
      <w:r w:rsidRPr="00481695">
        <w:t xml:space="preserve">, donde el lago Ontario se transforma en el rio San Lorenzo. Luego del almuerzo </w:t>
      </w:r>
      <w:r w:rsidRPr="00481695">
        <w:rPr>
          <w:b/>
          <w:bCs/>
          <w:color w:val="002060"/>
        </w:rPr>
        <w:t>(no incluido)</w:t>
      </w:r>
      <w:r>
        <w:rPr>
          <w:b/>
          <w:bCs/>
          <w:color w:val="002060"/>
        </w:rPr>
        <w:t xml:space="preserve">, </w:t>
      </w:r>
      <w:r w:rsidRPr="00481695">
        <w:t>continuaremos camino hacia Ottawa. Entramos a la ciudad pasando por la granja experimental y recorriendo el pintoresco Canal Rideau y sus hermosos barrios residenciales. Haremos un tour de orientación de la ciudad antes de entrar en el hotel. Alojamiento.</w:t>
      </w:r>
    </w:p>
    <w:p w14:paraId="29232D84" w14:textId="77777777" w:rsidR="00481695" w:rsidRDefault="00481695" w:rsidP="00481695">
      <w:pPr>
        <w:pStyle w:val="vinetas"/>
        <w:numPr>
          <w:ilvl w:val="0"/>
          <w:numId w:val="0"/>
        </w:numPr>
        <w:ind w:firstLine="8"/>
        <w:jc w:val="both"/>
      </w:pPr>
    </w:p>
    <w:p w14:paraId="332DFA90" w14:textId="02C69BA7" w:rsidR="00481695" w:rsidRPr="00481695" w:rsidRDefault="00481695" w:rsidP="00481695">
      <w:pPr>
        <w:pStyle w:val="vinetas"/>
        <w:numPr>
          <w:ilvl w:val="0"/>
          <w:numId w:val="0"/>
        </w:numPr>
        <w:rPr>
          <w:lang w:val="es-419"/>
        </w:rPr>
      </w:pPr>
      <w:r w:rsidRPr="00481695">
        <w:rPr>
          <w:b/>
          <w:color w:val="002060"/>
        </w:rPr>
        <w:t>N</w:t>
      </w:r>
      <w:r w:rsidRPr="00481695">
        <w:rPr>
          <w:b/>
          <w:color w:val="002060"/>
          <w:lang w:val="es-419"/>
        </w:rPr>
        <w:t>OTA</w:t>
      </w:r>
      <w:r w:rsidRPr="00481695">
        <w:rPr>
          <w:color w:val="002060"/>
          <w:lang w:val="es-419"/>
        </w:rPr>
        <w:t xml:space="preserve">: </w:t>
      </w:r>
      <w:r w:rsidRPr="00481695">
        <w:rPr>
          <w:lang w:val="es-419"/>
        </w:rPr>
        <w:t>En invierno el paseo en crucero será substituido por el Museo de la Civilización en Ottawa.</w:t>
      </w:r>
    </w:p>
    <w:p w14:paraId="071C6E1F" w14:textId="77777777" w:rsidR="00166B80" w:rsidRDefault="00166B80"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1B5F2EC0"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OTTAWA</w:t>
      </w:r>
      <w:r w:rsidR="00166B80">
        <w:rPr>
          <w:rFonts w:ascii="Century Gothic" w:hAnsi="Century Gothic" w:cstheme="minorBidi"/>
          <w:caps w:val="0"/>
          <w:color w:val="002060"/>
          <w:kern w:val="2"/>
          <w:sz w:val="22"/>
          <w:szCs w:val="22"/>
          <w:lang w:bidi="ar-SA"/>
          <w14:ligatures w14:val="standardContextual"/>
        </w:rPr>
        <w:t xml:space="preserve"> </w:t>
      </w:r>
      <w:r w:rsidR="00166B80" w:rsidRPr="001F0638">
        <w:rPr>
          <w:rFonts w:ascii="Century Gothic" w:hAnsi="Century Gothic" w:cstheme="minorBidi"/>
          <w:caps w:val="0"/>
          <w:color w:val="002060"/>
          <w:kern w:val="2"/>
          <w:sz w:val="22"/>
          <w:szCs w:val="22"/>
          <w:lang w:bidi="ar-SA"/>
          <w14:ligatures w14:val="standardContextual"/>
        </w:rPr>
        <w:t>–</w:t>
      </w:r>
      <w:r w:rsidR="00166B80">
        <w:rPr>
          <w:rFonts w:ascii="Century Gothic" w:hAnsi="Century Gothic" w:cstheme="minorBidi"/>
          <w:caps w:val="0"/>
          <w:color w:val="002060"/>
          <w:kern w:val="2"/>
          <w:sz w:val="22"/>
          <w:szCs w:val="22"/>
          <w:lang w:bidi="ar-SA"/>
          <w14:ligatures w14:val="standardContextual"/>
        </w:rPr>
        <w:t xml:space="preserve"> MONT TREMBLANT</w:t>
      </w:r>
    </w:p>
    <w:p w14:paraId="4395F232" w14:textId="69CC62D0" w:rsidR="00481695" w:rsidRPr="00481695" w:rsidRDefault="00481695" w:rsidP="00481695">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81695">
        <w:rPr>
          <w:rFonts w:ascii="Calibri" w:eastAsiaTheme="minorHAnsi" w:hAnsi="Calibri" w:cs="Calibri"/>
          <w:color w:val="000000" w:themeColor="text1"/>
          <w:sz w:val="22"/>
          <w:szCs w:val="22"/>
          <w:lang w:val="es-CO" w:bidi="hi-IN"/>
        </w:rPr>
        <w:t xml:space="preserve">mericano. Salimos del hotel para realizar la visita de la ciudad pasando por el Parlamento, las mansiones del gobernador y el primer ministro, el canal Rideau, la zona residencial. En los meses de </w:t>
      </w:r>
      <w:r>
        <w:rPr>
          <w:rFonts w:ascii="Calibri" w:eastAsiaTheme="minorHAnsi" w:hAnsi="Calibri" w:cs="Calibri"/>
          <w:color w:val="000000" w:themeColor="text1"/>
          <w:sz w:val="22"/>
          <w:szCs w:val="22"/>
          <w:lang w:val="es-CO" w:bidi="hi-IN"/>
        </w:rPr>
        <w:t>j</w:t>
      </w:r>
      <w:r w:rsidRPr="00481695">
        <w:rPr>
          <w:rFonts w:ascii="Calibri" w:eastAsiaTheme="minorHAnsi" w:hAnsi="Calibri" w:cs="Calibri"/>
          <w:color w:val="000000" w:themeColor="text1"/>
          <w:sz w:val="22"/>
          <w:szCs w:val="22"/>
          <w:lang w:val="es-CO" w:bidi="hi-IN"/>
        </w:rPr>
        <w:t xml:space="preserve">ulio y agosto exclusivamente podremos asistir al cambio de guardia que se lleva a cabo en el Parlamento. Sugerimos </w:t>
      </w:r>
      <w:r w:rsidRPr="00481695">
        <w:rPr>
          <w:rFonts w:ascii="Calibri" w:eastAsiaTheme="minorHAnsi" w:hAnsi="Calibri" w:cs="Calibri"/>
          <w:b/>
          <w:bCs/>
          <w:color w:val="002060"/>
          <w:sz w:val="22"/>
          <w:szCs w:val="22"/>
          <w:lang w:val="es-CO" w:bidi="hi-IN"/>
        </w:rPr>
        <w:t>OPCIONALMENTE</w:t>
      </w:r>
      <w:r>
        <w:rPr>
          <w:rFonts w:ascii="Calibri" w:eastAsiaTheme="minorHAnsi" w:hAnsi="Calibri" w:cs="Calibri"/>
          <w:b/>
          <w:bCs/>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en su tiempo libre visitar el Museo de la Civilización, el más importante de la región. Luego del almuerzo </w:t>
      </w:r>
      <w:r w:rsidRPr="00481695">
        <w:rPr>
          <w:rFonts w:ascii="Calibri" w:eastAsiaTheme="minorHAnsi" w:hAnsi="Calibri" w:cs="Calibri"/>
          <w:b/>
          <w:bCs/>
          <w:color w:val="002060"/>
          <w:sz w:val="22"/>
          <w:szCs w:val="22"/>
          <w:lang w:val="es-CO" w:bidi="hi-IN"/>
        </w:rPr>
        <w:t xml:space="preserve">(no incluido) </w:t>
      </w:r>
      <w:r w:rsidRPr="00481695">
        <w:rPr>
          <w:rFonts w:ascii="Calibri" w:eastAsiaTheme="minorHAnsi" w:hAnsi="Calibri" w:cs="Calibri"/>
          <w:color w:val="000000" w:themeColor="text1"/>
          <w:sz w:val="22"/>
          <w:szCs w:val="22"/>
          <w:lang w:val="es-CO" w:bidi="hi-IN"/>
        </w:rPr>
        <w:t xml:space="preserve">partimos hacia la Región de los Montes Laurentinos, donde se encuentran la mayoría de los centros de esquí del este de Canadá que son atracción tanto de </w:t>
      </w:r>
      <w:r>
        <w:rPr>
          <w:rFonts w:ascii="Calibri" w:eastAsiaTheme="minorHAnsi" w:hAnsi="Calibri" w:cs="Calibri"/>
          <w:color w:val="000000" w:themeColor="text1"/>
          <w:sz w:val="22"/>
          <w:szCs w:val="22"/>
          <w:lang w:val="es-CO" w:bidi="hi-IN"/>
        </w:rPr>
        <w:t>v</w:t>
      </w:r>
      <w:r w:rsidRPr="00481695">
        <w:rPr>
          <w:rFonts w:ascii="Calibri" w:eastAsiaTheme="minorHAnsi" w:hAnsi="Calibri" w:cs="Calibri"/>
          <w:color w:val="000000" w:themeColor="text1"/>
          <w:sz w:val="22"/>
          <w:szCs w:val="22"/>
          <w:lang w:val="es-CO" w:bidi="hi-IN"/>
        </w:rPr>
        <w:t>erano como de invierno.</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Llegada al final de la tarde y tiempo libre en M</w:t>
      </w:r>
      <w:r w:rsidR="00475AB4">
        <w:rPr>
          <w:rFonts w:ascii="Calibri" w:eastAsiaTheme="minorHAnsi" w:hAnsi="Calibri" w:cs="Calibri"/>
          <w:color w:val="000000" w:themeColor="text1"/>
          <w:sz w:val="22"/>
          <w:szCs w:val="22"/>
          <w:lang w:val="es-CO" w:bidi="hi-IN"/>
        </w:rPr>
        <w:t>on</w:t>
      </w:r>
      <w:r w:rsidRPr="00481695">
        <w:rPr>
          <w:rFonts w:ascii="Calibri" w:eastAsiaTheme="minorHAnsi" w:hAnsi="Calibri" w:cs="Calibri"/>
          <w:color w:val="000000" w:themeColor="text1"/>
          <w:sz w:val="22"/>
          <w:szCs w:val="22"/>
          <w:lang w:val="es-CO" w:bidi="hi-IN"/>
        </w:rPr>
        <w:t>t</w:t>
      </w:r>
      <w:r w:rsidR="00475AB4">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Tremblant. Alojamiento.</w:t>
      </w:r>
    </w:p>
    <w:p w14:paraId="2EA7DDD1" w14:textId="77777777" w:rsidR="00166B80" w:rsidRDefault="00166B80"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A1F1193" w14:textId="77777777" w:rsidR="00481695" w:rsidRDefault="004F4431"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166B80">
        <w:rPr>
          <w:rFonts w:ascii="Century Gothic" w:hAnsi="Century Gothic" w:cstheme="minorBidi"/>
          <w:caps w:val="0"/>
          <w:color w:val="002060"/>
          <w:kern w:val="2"/>
          <w:sz w:val="22"/>
          <w:szCs w:val="22"/>
          <w:lang w:bidi="ar-SA"/>
          <w14:ligatures w14:val="standardContextual"/>
        </w:rPr>
        <w:t>MONT TREMBLANT</w:t>
      </w:r>
      <w:r w:rsidR="00174B94" w:rsidRPr="00174B94">
        <w:rPr>
          <w:rFonts w:ascii="Century Gothic" w:hAnsi="Century Gothic" w:cstheme="minorBidi"/>
          <w:caps w:val="0"/>
          <w:color w:val="002060"/>
          <w:kern w:val="2"/>
          <w:sz w:val="22"/>
          <w:szCs w:val="22"/>
          <w:lang w:bidi="ar-SA"/>
          <w14:ligatures w14:val="standardContextual"/>
        </w:rPr>
        <w:t xml:space="preserve"> – </w:t>
      </w:r>
      <w:r w:rsidR="00166B80">
        <w:rPr>
          <w:rFonts w:ascii="Century Gothic" w:hAnsi="Century Gothic" w:cstheme="minorBidi"/>
          <w:caps w:val="0"/>
          <w:color w:val="002060"/>
          <w:kern w:val="2"/>
          <w:sz w:val="22"/>
          <w:szCs w:val="22"/>
          <w:lang w:bidi="ar-SA"/>
          <w14:ligatures w14:val="standardContextual"/>
        </w:rPr>
        <w:t>QUEBEC</w:t>
      </w:r>
    </w:p>
    <w:p w14:paraId="14F21B5B" w14:textId="0B57BCB6" w:rsidR="00481695" w:rsidRPr="00481695" w:rsidRDefault="00481695" w:rsidP="00475AB4">
      <w:pPr>
        <w:pStyle w:val="Textoindependiente"/>
        <w:spacing w:before="42"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am</w:t>
      </w:r>
      <w:r w:rsidRPr="00481695">
        <w:rPr>
          <w:rFonts w:ascii="Calibri" w:eastAsiaTheme="minorHAnsi" w:hAnsi="Calibri" w:cs="Calibri"/>
          <w:color w:val="000000" w:themeColor="text1"/>
          <w:sz w:val="22"/>
          <w:szCs w:val="22"/>
          <w:lang w:val="es-CO" w:bidi="hi-IN"/>
        </w:rPr>
        <w:t xml:space="preserve">ericano. Temprano por la mañana partimos hacia Quebec. En el camino haremos un alto en una de las </w:t>
      </w:r>
      <w:r w:rsidR="00475AB4" w:rsidRPr="00481695">
        <w:rPr>
          <w:rFonts w:ascii="Calibri" w:eastAsiaTheme="minorHAnsi" w:hAnsi="Calibri" w:cs="Calibri"/>
          <w:color w:val="000000" w:themeColor="text1"/>
          <w:sz w:val="22"/>
          <w:szCs w:val="22"/>
          <w:lang w:val="es-CO" w:bidi="hi-IN"/>
        </w:rPr>
        <w:t>típicas</w:t>
      </w:r>
      <w:r w:rsidRPr="00481695">
        <w:rPr>
          <w:rFonts w:ascii="Calibri" w:eastAsiaTheme="minorHAnsi" w:hAnsi="Calibri" w:cs="Calibri"/>
          <w:color w:val="000000" w:themeColor="text1"/>
          <w:sz w:val="22"/>
          <w:szCs w:val="22"/>
          <w:lang w:val="es-CO" w:bidi="hi-IN"/>
        </w:rPr>
        <w:t xml:space="preserve"> cabañas de </w:t>
      </w:r>
      <w:r w:rsidR="00475AB4" w:rsidRPr="00481695">
        <w:rPr>
          <w:rFonts w:ascii="Calibri" w:eastAsiaTheme="minorHAnsi" w:hAnsi="Calibri" w:cs="Calibri"/>
          <w:color w:val="000000" w:themeColor="text1"/>
          <w:sz w:val="22"/>
          <w:szCs w:val="22"/>
          <w:lang w:val="es-CO" w:bidi="hi-IN"/>
        </w:rPr>
        <w:t>azúcar</w:t>
      </w:r>
      <w:r w:rsidRPr="00481695">
        <w:rPr>
          <w:rFonts w:ascii="Calibri" w:eastAsiaTheme="minorHAnsi" w:hAnsi="Calibri" w:cs="Calibri"/>
          <w:color w:val="000000" w:themeColor="text1"/>
          <w:sz w:val="22"/>
          <w:szCs w:val="22"/>
          <w:lang w:val="es-CO" w:bidi="hi-IN"/>
        </w:rPr>
        <w:t xml:space="preserve"> de la </w:t>
      </w:r>
      <w:r w:rsidR="00475AB4" w:rsidRPr="00481695">
        <w:rPr>
          <w:rFonts w:ascii="Calibri" w:eastAsiaTheme="minorHAnsi" w:hAnsi="Calibri" w:cs="Calibri"/>
          <w:color w:val="000000" w:themeColor="text1"/>
          <w:sz w:val="22"/>
          <w:szCs w:val="22"/>
          <w:lang w:val="es-CO" w:bidi="hi-IN"/>
        </w:rPr>
        <w:t>región</w:t>
      </w:r>
      <w:r w:rsidRPr="00481695">
        <w:rPr>
          <w:rFonts w:ascii="Calibri" w:eastAsiaTheme="minorHAnsi" w:hAnsi="Calibri" w:cs="Calibri"/>
          <w:color w:val="000000" w:themeColor="text1"/>
          <w:sz w:val="22"/>
          <w:szCs w:val="22"/>
          <w:lang w:val="es-CO" w:bidi="hi-IN"/>
        </w:rPr>
        <w:t xml:space="preserve"> donde </w:t>
      </w:r>
      <w:r w:rsidR="00475AB4" w:rsidRPr="00481695">
        <w:rPr>
          <w:rFonts w:ascii="Calibri" w:eastAsiaTheme="minorHAnsi" w:hAnsi="Calibri" w:cs="Calibri"/>
          <w:color w:val="000000" w:themeColor="text1"/>
          <w:sz w:val="22"/>
          <w:szCs w:val="22"/>
          <w:lang w:val="es-CO" w:bidi="hi-IN"/>
        </w:rPr>
        <w:t>podrá</w:t>
      </w:r>
      <w:r w:rsidRPr="00481695">
        <w:rPr>
          <w:rFonts w:ascii="Calibri" w:eastAsiaTheme="minorHAnsi" w:hAnsi="Calibri" w:cs="Calibri"/>
          <w:color w:val="000000" w:themeColor="text1"/>
          <w:sz w:val="22"/>
          <w:szCs w:val="22"/>
          <w:lang w:val="es-CO" w:bidi="hi-IN"/>
        </w:rPr>
        <w:t xml:space="preserve"> degustar el jarabe de arce caramelizado y conocer su proceso de </w:t>
      </w:r>
      <w:r w:rsidR="00475AB4" w:rsidRPr="00481695">
        <w:rPr>
          <w:rFonts w:ascii="Calibri" w:eastAsiaTheme="minorHAnsi" w:hAnsi="Calibri" w:cs="Calibri"/>
          <w:color w:val="000000" w:themeColor="text1"/>
          <w:sz w:val="22"/>
          <w:szCs w:val="22"/>
          <w:lang w:val="es-CO" w:bidi="hi-IN"/>
        </w:rPr>
        <w:t>producción</w:t>
      </w:r>
      <w:r w:rsidRPr="00481695">
        <w:rPr>
          <w:rFonts w:ascii="Calibri" w:eastAsiaTheme="minorHAnsi" w:hAnsi="Calibri" w:cs="Calibri"/>
          <w:color w:val="000000" w:themeColor="text1"/>
          <w:sz w:val="22"/>
          <w:szCs w:val="22"/>
          <w:lang w:val="es-CO" w:bidi="hi-IN"/>
        </w:rPr>
        <w:t xml:space="preserve">. A la llegada a Quebec iniciamos nuestro tour </w:t>
      </w:r>
      <w:r w:rsidR="00475AB4" w:rsidRPr="00481695">
        <w:rPr>
          <w:rFonts w:ascii="Calibri" w:eastAsiaTheme="minorHAnsi" w:hAnsi="Calibri" w:cs="Calibri"/>
          <w:color w:val="000000" w:themeColor="text1"/>
          <w:sz w:val="22"/>
          <w:szCs w:val="22"/>
          <w:lang w:val="es-CO" w:bidi="hi-IN"/>
        </w:rPr>
        <w:t>panorámico</w:t>
      </w:r>
      <w:r w:rsidRPr="00481695">
        <w:rPr>
          <w:rFonts w:ascii="Calibri" w:eastAsiaTheme="minorHAnsi" w:hAnsi="Calibri" w:cs="Calibri"/>
          <w:color w:val="000000" w:themeColor="text1"/>
          <w:sz w:val="22"/>
          <w:szCs w:val="22"/>
          <w:lang w:val="es-CO" w:bidi="hi-IN"/>
        </w:rPr>
        <w:t xml:space="preserve">. </w:t>
      </w:r>
      <w:r w:rsidR="00475AB4" w:rsidRPr="00481695">
        <w:rPr>
          <w:rFonts w:ascii="Calibri" w:eastAsiaTheme="minorHAnsi" w:hAnsi="Calibri" w:cs="Calibri"/>
          <w:color w:val="000000" w:themeColor="text1"/>
          <w:sz w:val="22"/>
          <w:szCs w:val="22"/>
          <w:lang w:val="es-CO" w:bidi="hi-IN"/>
        </w:rPr>
        <w:t>Después</w:t>
      </w:r>
      <w:r w:rsidRPr="00481695">
        <w:rPr>
          <w:rFonts w:ascii="Calibri" w:eastAsiaTheme="minorHAnsi" w:hAnsi="Calibri" w:cs="Calibri"/>
          <w:color w:val="000000" w:themeColor="text1"/>
          <w:sz w:val="22"/>
          <w:szCs w:val="22"/>
          <w:lang w:val="es-CO" w:bidi="hi-IN"/>
        </w:rPr>
        <w:t xml:space="preserve">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continuaremos la visita de la ciudad de Quebec, en la que veremos, los campos de batalla, el cabo diamante, el </w:t>
      </w:r>
      <w:r w:rsidR="00475AB4" w:rsidRPr="00481695">
        <w:rPr>
          <w:rFonts w:ascii="Calibri" w:eastAsiaTheme="minorHAnsi" w:hAnsi="Calibri" w:cs="Calibri"/>
          <w:color w:val="000000" w:themeColor="text1"/>
          <w:sz w:val="22"/>
          <w:szCs w:val="22"/>
          <w:lang w:val="es-CO" w:bidi="hi-IN"/>
        </w:rPr>
        <w:t>jardín</w:t>
      </w:r>
      <w:r w:rsidRPr="00481695">
        <w:rPr>
          <w:rFonts w:ascii="Calibri" w:eastAsiaTheme="minorHAnsi" w:hAnsi="Calibri" w:cs="Calibri"/>
          <w:color w:val="000000" w:themeColor="text1"/>
          <w:sz w:val="22"/>
          <w:szCs w:val="22"/>
          <w:lang w:val="es-CO" w:bidi="hi-IN"/>
        </w:rPr>
        <w:t xml:space="preserve"> de Juana de Arco, la Grande </w:t>
      </w:r>
      <w:proofErr w:type="spellStart"/>
      <w:r w:rsidRPr="00481695">
        <w:rPr>
          <w:rFonts w:ascii="Calibri" w:eastAsiaTheme="minorHAnsi" w:hAnsi="Calibri" w:cs="Calibri"/>
          <w:color w:val="000000" w:themeColor="text1"/>
          <w:sz w:val="22"/>
          <w:szCs w:val="22"/>
          <w:lang w:val="es-CO" w:bidi="hi-IN"/>
        </w:rPr>
        <w:t>Allee</w:t>
      </w:r>
      <w:proofErr w:type="spellEnd"/>
      <w:r w:rsidRPr="00481695">
        <w:rPr>
          <w:rFonts w:ascii="Calibri" w:eastAsiaTheme="minorHAnsi" w:hAnsi="Calibri" w:cs="Calibri"/>
          <w:color w:val="000000" w:themeColor="text1"/>
          <w:sz w:val="22"/>
          <w:szCs w:val="22"/>
          <w:lang w:val="es-CO" w:bidi="hi-IN"/>
        </w:rPr>
        <w:t xml:space="preserve">, el Parlamento de la provincia de Quebec, la ciudad amurallada, la puerta San Luis, la Plaza de Armas, el </w:t>
      </w:r>
      <w:r w:rsidR="00475AB4" w:rsidRPr="00481695">
        <w:rPr>
          <w:rFonts w:ascii="Calibri" w:eastAsiaTheme="minorHAnsi" w:hAnsi="Calibri" w:cs="Calibri"/>
          <w:color w:val="000000" w:themeColor="text1"/>
          <w:sz w:val="22"/>
          <w:szCs w:val="22"/>
          <w:lang w:val="es-CO" w:bidi="hi-IN"/>
        </w:rPr>
        <w:t>área</w:t>
      </w:r>
      <w:r w:rsidRPr="00481695">
        <w:rPr>
          <w:rFonts w:ascii="Calibri" w:eastAsiaTheme="minorHAnsi" w:hAnsi="Calibri" w:cs="Calibri"/>
          <w:color w:val="000000" w:themeColor="text1"/>
          <w:sz w:val="22"/>
          <w:szCs w:val="22"/>
          <w:lang w:val="es-CO" w:bidi="hi-IN"/>
        </w:rPr>
        <w:t xml:space="preserve"> del Chateau Frontenac, el Hotel de </w:t>
      </w:r>
      <w:proofErr w:type="spellStart"/>
      <w:r w:rsidRPr="00481695">
        <w:rPr>
          <w:rFonts w:ascii="Calibri" w:eastAsiaTheme="minorHAnsi" w:hAnsi="Calibri" w:cs="Calibri"/>
          <w:color w:val="000000" w:themeColor="text1"/>
          <w:sz w:val="22"/>
          <w:szCs w:val="22"/>
          <w:lang w:val="es-CO" w:bidi="hi-IN"/>
        </w:rPr>
        <w:t>Ville</w:t>
      </w:r>
      <w:proofErr w:type="spellEnd"/>
      <w:r w:rsidRPr="00481695">
        <w:rPr>
          <w:rFonts w:ascii="Calibri" w:eastAsiaTheme="minorHAnsi" w:hAnsi="Calibri" w:cs="Calibri"/>
          <w:color w:val="000000" w:themeColor="text1"/>
          <w:sz w:val="22"/>
          <w:szCs w:val="22"/>
          <w:lang w:val="es-CO" w:bidi="hi-IN"/>
        </w:rPr>
        <w:t>, el puerto viejo y la Plaza Real. Alojamiento</w:t>
      </w:r>
    </w:p>
    <w:p w14:paraId="550D0F34" w14:textId="77777777" w:rsidR="00475AB4" w:rsidRDefault="00166B80" w:rsidP="00475AB4">
      <w:pPr>
        <w:pStyle w:val="dias"/>
        <w:spacing w:before="0"/>
        <w:ind w:left="1410" w:hanging="1410"/>
        <w:rPr>
          <w:b w:val="0"/>
          <w:bCs w:val="0"/>
          <w:caps w:val="0"/>
          <w:sz w:val="22"/>
          <w:szCs w:val="22"/>
        </w:rPr>
      </w:pPr>
      <w:r w:rsidRPr="00481695">
        <w:rPr>
          <w:b w:val="0"/>
          <w:bCs w:val="0"/>
          <w:caps w:val="0"/>
          <w:sz w:val="22"/>
          <w:szCs w:val="22"/>
        </w:rPr>
        <w:t xml:space="preserve"> </w:t>
      </w:r>
    </w:p>
    <w:p w14:paraId="23A04A38" w14:textId="7E74772E" w:rsidR="00E61D07" w:rsidRDefault="00E61D07" w:rsidP="00475AB4">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481695">
        <w:rPr>
          <w:rFonts w:ascii="Century Gothic" w:hAnsi="Century Gothic" w:cstheme="minorBidi"/>
          <w:caps w:val="0"/>
          <w:color w:val="002060"/>
          <w:kern w:val="2"/>
          <w:sz w:val="22"/>
          <w:szCs w:val="22"/>
          <w:lang w:bidi="ar-SA"/>
          <w14:ligatures w14:val="standardContextual"/>
        </w:rPr>
        <w:t>QUEBEC</w:t>
      </w:r>
    </w:p>
    <w:p w14:paraId="4D3DECE9" w14:textId="507916AA" w:rsidR="000709B3" w:rsidRDefault="000709B3" w:rsidP="000709B3">
      <w:pPr>
        <w:pStyle w:val="itinerario"/>
      </w:pPr>
      <w:r w:rsidRPr="002C6153">
        <w:t xml:space="preserve">Desayuno americano. </w:t>
      </w:r>
      <w:r w:rsidR="00475AB4">
        <w:t xml:space="preserve">Día libre para actividades personales. </w:t>
      </w:r>
      <w:r w:rsidRPr="002C6153">
        <w:t>Alojamiento.</w:t>
      </w:r>
    </w:p>
    <w:p w14:paraId="5BB67E29" w14:textId="77777777" w:rsidR="000709B3" w:rsidRDefault="000709B3" w:rsidP="000709B3">
      <w:pPr>
        <w:pStyle w:val="itinerario"/>
      </w:pPr>
    </w:p>
    <w:p w14:paraId="2A4E4448" w14:textId="77777777" w:rsidR="000C71CE" w:rsidRDefault="000C71CE" w:rsidP="00E61D07">
      <w:pPr>
        <w:pStyle w:val="itinerario"/>
      </w:pPr>
    </w:p>
    <w:p w14:paraId="53F96062" w14:textId="700820F0" w:rsidR="00475AB4" w:rsidRDefault="00475AB4" w:rsidP="00E61D07">
      <w:pPr>
        <w:pStyle w:val="itinerario"/>
        <w:sectPr w:rsidR="00475AB4" w:rsidSect="006773A9">
          <w:type w:val="continuous"/>
          <w:pgSz w:w="12240" w:h="15840"/>
          <w:pgMar w:top="1417" w:right="1701" w:bottom="1276" w:left="1701" w:header="708" w:footer="30" w:gutter="0"/>
          <w:cols w:space="720"/>
          <w:docGrid w:linePitch="360"/>
        </w:sectPr>
      </w:pPr>
    </w:p>
    <w:p w14:paraId="059B107C" w14:textId="1AF33895" w:rsidR="000C71CE" w:rsidRDefault="00E260D8" w:rsidP="000C71CE">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636492">
        <w:rPr>
          <w:rFonts w:ascii="Century Gothic" w:hAnsi="Century Gothic" w:cstheme="minorBidi"/>
          <w:caps w:val="0"/>
          <w:color w:val="002060"/>
          <w:kern w:val="2"/>
          <w:sz w:val="22"/>
          <w:szCs w:val="22"/>
          <w:lang w:bidi="ar-SA"/>
          <w14:ligatures w14:val="standardContextual"/>
        </w:rPr>
        <w:t>7</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481695">
        <w:rPr>
          <w:rFonts w:ascii="Century Gothic" w:hAnsi="Century Gothic" w:cstheme="minorBidi"/>
          <w:caps w:val="0"/>
          <w:color w:val="002060"/>
          <w:kern w:val="2"/>
          <w:sz w:val="22"/>
          <w:szCs w:val="22"/>
          <w:lang w:bidi="ar-SA"/>
          <w14:ligatures w14:val="standardContextual"/>
        </w:rPr>
        <w:t xml:space="preserve">QUEBEC </w:t>
      </w:r>
      <w:r w:rsidR="004D660E" w:rsidRPr="004D660E">
        <w:rPr>
          <w:rFonts w:ascii="Century Gothic" w:hAnsi="Century Gothic" w:cstheme="minorBidi"/>
          <w:caps w:val="0"/>
          <w:color w:val="002060"/>
          <w:kern w:val="2"/>
          <w:sz w:val="22"/>
          <w:szCs w:val="22"/>
          <w:lang w:bidi="ar-SA"/>
          <w14:ligatures w14:val="standardContextual"/>
        </w:rPr>
        <w:t xml:space="preserve">– </w:t>
      </w:r>
      <w:r w:rsidR="00481695">
        <w:rPr>
          <w:rFonts w:ascii="Century Gothic" w:hAnsi="Century Gothic" w:cstheme="minorBidi"/>
          <w:caps w:val="0"/>
          <w:color w:val="002060"/>
          <w:kern w:val="2"/>
          <w:sz w:val="22"/>
          <w:szCs w:val="22"/>
          <w:lang w:bidi="ar-SA"/>
          <w14:ligatures w14:val="standardContextual"/>
        </w:rPr>
        <w:t>MONTREAL</w:t>
      </w:r>
    </w:p>
    <w:p w14:paraId="51FC0A93" w14:textId="72515434" w:rsidR="00475AB4" w:rsidRPr="00475AB4" w:rsidRDefault="00475AB4" w:rsidP="00475AB4">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75AB4">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75AB4">
        <w:rPr>
          <w:rFonts w:ascii="Calibri" w:eastAsiaTheme="minorHAnsi" w:hAnsi="Calibri" w:cs="Calibri"/>
          <w:color w:val="000000" w:themeColor="text1"/>
          <w:sz w:val="22"/>
          <w:szCs w:val="22"/>
          <w:lang w:val="es-CO" w:bidi="hi-IN"/>
        </w:rPr>
        <w:t>mericano.</w:t>
      </w:r>
      <w:r>
        <w:rPr>
          <w:rFonts w:ascii="Calibri" w:eastAsiaTheme="minorHAnsi" w:hAnsi="Calibri" w:cs="Calibri"/>
          <w:color w:val="000000" w:themeColor="text1"/>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José, el Monte Real, pararemos en uno de sus miradores, barrio latino. Luego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continuaremos nuestra visita panorámica hacia el Viejo Montreal, pasando por la plaza de armas, basílica de Notre Dame </w:t>
      </w:r>
      <w:r w:rsidRPr="00475AB4">
        <w:rPr>
          <w:rFonts w:ascii="Calibri" w:eastAsiaTheme="minorHAnsi" w:hAnsi="Calibri" w:cs="Calibri"/>
          <w:b/>
          <w:bCs/>
          <w:color w:val="002060"/>
          <w:sz w:val="22"/>
          <w:szCs w:val="22"/>
          <w:lang w:val="es-CO" w:bidi="hi-IN"/>
        </w:rPr>
        <w:t>(Admisión NO incluida)</w:t>
      </w:r>
      <w:r w:rsidRPr="00475AB4">
        <w:rPr>
          <w:rFonts w:ascii="Calibri" w:eastAsiaTheme="minorHAnsi" w:hAnsi="Calibri" w:cs="Calibri"/>
          <w:color w:val="000000" w:themeColor="text1"/>
          <w:sz w:val="22"/>
          <w:szCs w:val="22"/>
          <w:lang w:val="es-CO" w:bidi="hi-IN"/>
        </w:rPr>
        <w:t>, el viejo Puerto, la plaza Jacques Cartier, el edificio del ayuntamiento. Resto de la tarde libre. Alojamiento.</w:t>
      </w:r>
    </w:p>
    <w:p w14:paraId="304C6731" w14:textId="77777777" w:rsidR="00475AB4" w:rsidRDefault="00475AB4" w:rsidP="00812103">
      <w:pPr>
        <w:pStyle w:val="dias"/>
        <w:spacing w:before="0"/>
        <w:rPr>
          <w:b w:val="0"/>
          <w:bCs w:val="0"/>
          <w:caps w:val="0"/>
          <w:sz w:val="22"/>
          <w:szCs w:val="22"/>
        </w:rPr>
      </w:pPr>
    </w:p>
    <w:p w14:paraId="02F42D73" w14:textId="77777777" w:rsidR="00475AB4" w:rsidRDefault="00475AB4" w:rsidP="00475AB4">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MONTREAL</w:t>
      </w:r>
    </w:p>
    <w:p w14:paraId="1B34A58B" w14:textId="28D4B36D" w:rsidR="00475AB4" w:rsidRPr="00475AB4" w:rsidRDefault="00475AB4" w:rsidP="00475AB4">
      <w:pPr>
        <w:pStyle w:val="dias"/>
        <w:spacing w:before="0"/>
        <w:jc w:val="both"/>
        <w:rPr>
          <w:rFonts w:ascii="Century Gothic" w:hAnsi="Century Gothic" w:cstheme="minorBidi"/>
          <w:caps w:val="0"/>
          <w:color w:val="002060"/>
          <w:kern w:val="2"/>
          <w:sz w:val="22"/>
          <w:szCs w:val="22"/>
          <w:lang w:bidi="ar-SA"/>
          <w14:ligatures w14:val="standardContextual"/>
        </w:rPr>
      </w:pPr>
      <w:r w:rsidRPr="00475AB4">
        <w:rPr>
          <w:b w:val="0"/>
          <w:bCs w:val="0"/>
          <w:caps w:val="0"/>
          <w:sz w:val="22"/>
          <w:szCs w:val="22"/>
        </w:rPr>
        <w:t>Desayuno americano. A la hora convenida, traslado al aeropuerto donde se tomará el vuelo de salida.</w:t>
      </w:r>
    </w:p>
    <w:p w14:paraId="48F4D312" w14:textId="77777777" w:rsidR="00475AB4" w:rsidRPr="00475AB4" w:rsidRDefault="00475AB4" w:rsidP="00475AB4">
      <w:pPr>
        <w:pStyle w:val="dias"/>
        <w:rPr>
          <w:b w:val="0"/>
          <w:bCs w:val="0"/>
          <w:caps w:val="0"/>
          <w:sz w:val="22"/>
          <w:szCs w:val="22"/>
        </w:rPr>
      </w:pPr>
      <w:r w:rsidRPr="00475AB4">
        <w:rPr>
          <w:caps w:val="0"/>
          <w:color w:val="002060"/>
          <w:sz w:val="22"/>
          <w:szCs w:val="22"/>
        </w:rPr>
        <w:t>NOTA:</w:t>
      </w:r>
      <w:r w:rsidRPr="00475AB4">
        <w:rPr>
          <w:b w:val="0"/>
          <w:bCs w:val="0"/>
          <w:caps w:val="0"/>
          <w:color w:val="002060"/>
          <w:sz w:val="22"/>
          <w:szCs w:val="22"/>
        </w:rPr>
        <w:t xml:space="preserve"> </w:t>
      </w:r>
      <w:r w:rsidRPr="00475AB4">
        <w:rPr>
          <w:b w:val="0"/>
          <w:bCs w:val="0"/>
          <w:caps w:val="0"/>
          <w:sz w:val="22"/>
          <w:szCs w:val="22"/>
        </w:rPr>
        <w:t>CHECK OUT del hotel deberá ser antes de las 12:00 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4DD07FC1" w14:textId="77777777" w:rsidR="003E34BF" w:rsidRDefault="003E34BF" w:rsidP="00812103">
      <w:pPr>
        <w:pStyle w:val="dias"/>
        <w:spacing w:before="0"/>
        <w:rPr>
          <w:rFonts w:ascii="Century Gothic" w:hAnsi="Century Gothic" w:cstheme="minorBidi"/>
          <w:caps w:val="0"/>
          <w:color w:val="002060"/>
          <w:kern w:val="2"/>
          <w:lang w:bidi="ar-SA"/>
          <w14:ligatures w14:val="standardContextual"/>
        </w:rPr>
      </w:pPr>
    </w:p>
    <w:p w14:paraId="642039CA" w14:textId="4ADE50D9"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8430BE">
        <w:rPr>
          <w:rFonts w:ascii="Century Gothic" w:hAnsi="Century Gothic" w:cstheme="minorBidi"/>
          <w:caps w:val="0"/>
          <w:color w:val="002060"/>
          <w:kern w:val="2"/>
          <w:lang w:bidi="ar-SA"/>
          <w14:ligatures w14:val="standardContextual"/>
        </w:rPr>
        <w:t>TORONTO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660991"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1FDBBA65" w:rsidR="00D54888" w:rsidRPr="005F6D1C" w:rsidRDefault="008430BE"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Chelsea Hotel</w:t>
            </w:r>
          </w:p>
        </w:tc>
        <w:tc>
          <w:tcPr>
            <w:tcW w:w="3287" w:type="dxa"/>
            <w:tcBorders>
              <w:left w:val="single" w:sz="2" w:space="0" w:color="E7E6E6" w:themeColor="background2"/>
            </w:tcBorders>
            <w:vAlign w:val="center"/>
          </w:tcPr>
          <w:p w14:paraId="13FEA83E" w14:textId="59A4AB28" w:rsidR="00D54888" w:rsidRPr="005F6D1C" w:rsidRDefault="008430BE"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 xml:space="preserve">33 Gerrard St W, Toronto, ON M5G 1Z4, </w:t>
            </w:r>
            <w:proofErr w:type="spellStart"/>
            <w:r w:rsidRPr="008430BE">
              <w:rPr>
                <w:rFonts w:ascii="Calibri" w:hAnsi="Calibri" w:cs="Calibri"/>
                <w:sz w:val="20"/>
                <w:szCs w:val="20"/>
                <w:lang w:val="en-US" w:bidi="hi-IN"/>
              </w:rPr>
              <w:t>Canadá</w:t>
            </w:r>
            <w:proofErr w:type="spellEnd"/>
          </w:p>
        </w:tc>
      </w:tr>
    </w:tbl>
    <w:p w14:paraId="6EE8DDA7" w14:textId="77777777" w:rsidR="00CE59EA" w:rsidRPr="008430BE"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2E2DFE8F"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675"/>
        <w:gridCol w:w="1008"/>
        <w:gridCol w:w="1134"/>
        <w:gridCol w:w="1656"/>
        <w:gridCol w:w="1182"/>
        <w:gridCol w:w="980"/>
      </w:tblGrid>
      <w:tr w:rsidR="001A6503" w:rsidRPr="00385B33" w14:paraId="21CFB9F3" w14:textId="77777777" w:rsidTr="001A6503">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75" w:type="dxa"/>
            <w:shd w:val="clear" w:color="auto" w:fill="0C4870"/>
            <w:vAlign w:val="center"/>
          </w:tcPr>
          <w:p w14:paraId="5AD27FAA" w14:textId="77777777" w:rsidR="001A6503" w:rsidRPr="00395C83" w:rsidRDefault="001A6503" w:rsidP="003C1A5A">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008" w:type="dxa"/>
            <w:shd w:val="clear" w:color="auto" w:fill="0C4870"/>
            <w:vAlign w:val="center"/>
          </w:tcPr>
          <w:p w14:paraId="587870C0" w14:textId="77777777" w:rsidR="001A6503" w:rsidRPr="00395C83"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1F8A6758" w14:textId="77777777" w:rsidR="001A6503" w:rsidRPr="00395C83"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56" w:type="dxa"/>
            <w:shd w:val="clear" w:color="auto" w:fill="0C4870"/>
            <w:vAlign w:val="center"/>
          </w:tcPr>
          <w:p w14:paraId="1BAB5C89" w14:textId="77777777" w:rsidR="001A6503" w:rsidRPr="00395C83"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182" w:type="dxa"/>
            <w:shd w:val="clear" w:color="auto" w:fill="0C4870"/>
            <w:vAlign w:val="center"/>
          </w:tcPr>
          <w:p w14:paraId="1809A4C7" w14:textId="77777777" w:rsidR="001A6503" w:rsidRPr="004271BF"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980" w:type="dxa"/>
            <w:tcBorders>
              <w:right w:val="single" w:sz="4" w:space="0" w:color="D9D9D9"/>
            </w:tcBorders>
            <w:shd w:val="clear" w:color="auto" w:fill="0C4870"/>
            <w:vAlign w:val="center"/>
          </w:tcPr>
          <w:p w14:paraId="450311D4" w14:textId="77777777" w:rsidR="001A6503" w:rsidRPr="004271BF"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1A6503" w:rsidRPr="00385B33" w14:paraId="2CC20AC0" w14:textId="77777777" w:rsidTr="001A6503">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391D6124"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Abril (28)</w:t>
            </w:r>
          </w:p>
        </w:tc>
        <w:tc>
          <w:tcPr>
            <w:tcW w:w="1008" w:type="dxa"/>
            <w:vMerge w:val="restart"/>
            <w:tcBorders>
              <w:left w:val="single" w:sz="4" w:space="0" w:color="D9D9D9" w:themeColor="background1" w:themeShade="D9"/>
              <w:right w:val="single" w:sz="2" w:space="0" w:color="E7E6E6" w:themeColor="background2"/>
            </w:tcBorders>
            <w:vAlign w:val="center"/>
          </w:tcPr>
          <w:p w14:paraId="37246EF5"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745</w:t>
            </w:r>
          </w:p>
        </w:tc>
        <w:tc>
          <w:tcPr>
            <w:tcW w:w="1134" w:type="dxa"/>
            <w:vMerge w:val="restart"/>
            <w:tcBorders>
              <w:left w:val="single" w:sz="2" w:space="0" w:color="E7E6E6" w:themeColor="background2"/>
            </w:tcBorders>
            <w:vAlign w:val="center"/>
          </w:tcPr>
          <w:p w14:paraId="0BC16E6B"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565</w:t>
            </w:r>
          </w:p>
        </w:tc>
        <w:tc>
          <w:tcPr>
            <w:tcW w:w="1656" w:type="dxa"/>
            <w:vMerge w:val="restart"/>
            <w:tcBorders>
              <w:left w:val="single" w:sz="2" w:space="0" w:color="E7E6E6" w:themeColor="background2"/>
            </w:tcBorders>
            <w:vAlign w:val="center"/>
          </w:tcPr>
          <w:p w14:paraId="16B5C84E"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465</w:t>
            </w:r>
          </w:p>
        </w:tc>
        <w:tc>
          <w:tcPr>
            <w:tcW w:w="1182" w:type="dxa"/>
            <w:vMerge w:val="restart"/>
            <w:tcBorders>
              <w:left w:val="single" w:sz="2" w:space="0" w:color="E7E6E6" w:themeColor="background2"/>
            </w:tcBorders>
            <w:vAlign w:val="center"/>
          </w:tcPr>
          <w:p w14:paraId="56D20C1C"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2</w:t>
            </w:r>
            <w:r>
              <w:rPr>
                <w:rFonts w:ascii="Calibri" w:hAnsi="Calibri" w:cs="Calibri"/>
                <w:lang w:bidi="hi-IN"/>
              </w:rPr>
              <w:t>.</w:t>
            </w:r>
            <w:r w:rsidRPr="00D57467">
              <w:rPr>
                <w:rFonts w:ascii="Calibri" w:hAnsi="Calibri" w:cs="Calibri"/>
                <w:lang w:bidi="hi-IN"/>
              </w:rPr>
              <w:t>539</w:t>
            </w:r>
          </w:p>
        </w:tc>
        <w:tc>
          <w:tcPr>
            <w:tcW w:w="980" w:type="dxa"/>
            <w:vMerge w:val="restart"/>
            <w:tcBorders>
              <w:left w:val="single" w:sz="2" w:space="0" w:color="E7E6E6" w:themeColor="background2"/>
              <w:right w:val="single" w:sz="4" w:space="0" w:color="D9D9D9"/>
            </w:tcBorders>
            <w:vAlign w:val="center"/>
          </w:tcPr>
          <w:p w14:paraId="53277BB7"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929</w:t>
            </w:r>
          </w:p>
        </w:tc>
      </w:tr>
      <w:tr w:rsidR="001A6503" w:rsidRPr="00385B33" w14:paraId="4BB2E831"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shd w:val="clear" w:color="auto" w:fill="F2F2F2" w:themeFill="background1" w:themeFillShade="F2"/>
            <w:vAlign w:val="center"/>
          </w:tcPr>
          <w:p w14:paraId="2B23377A"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M</w:t>
            </w:r>
            <w:r w:rsidRPr="005B6F72">
              <w:rPr>
                <w:caps w:val="0"/>
                <w:color w:val="2F5496" w:themeColor="accent5" w:themeShade="BF"/>
                <w:sz w:val="22"/>
                <w:szCs w:val="22"/>
              </w:rPr>
              <w:t>ayo</w:t>
            </w:r>
            <w:r>
              <w:rPr>
                <w:caps w:val="0"/>
                <w:color w:val="2F5496" w:themeColor="accent5" w:themeShade="BF"/>
                <w:sz w:val="22"/>
                <w:szCs w:val="22"/>
              </w:rPr>
              <w:t xml:space="preserve"> (05, 12, 19 y 26)</w:t>
            </w:r>
          </w:p>
        </w:tc>
        <w:tc>
          <w:tcPr>
            <w:tcW w:w="1008" w:type="dxa"/>
            <w:vMerge/>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011400F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shd w:val="clear" w:color="auto" w:fill="F2F2F2" w:themeFill="background1" w:themeFillShade="F2"/>
            <w:vAlign w:val="center"/>
          </w:tcPr>
          <w:p w14:paraId="7776B031"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shd w:val="clear" w:color="auto" w:fill="F2F2F2" w:themeFill="background1" w:themeFillShade="F2"/>
            <w:vAlign w:val="center"/>
          </w:tcPr>
          <w:p w14:paraId="1F52302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shd w:val="clear" w:color="auto" w:fill="F2F2F2" w:themeFill="background1" w:themeFillShade="F2"/>
            <w:vAlign w:val="center"/>
          </w:tcPr>
          <w:p w14:paraId="2F0F14C7"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shd w:val="clear" w:color="auto" w:fill="F2F2F2" w:themeFill="background1" w:themeFillShade="F2"/>
            <w:vAlign w:val="center"/>
          </w:tcPr>
          <w:p w14:paraId="709CD561"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A6503" w:rsidRPr="00385B33" w14:paraId="46B4C423" w14:textId="77777777" w:rsidTr="001A650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298286AE"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J</w:t>
            </w:r>
            <w:r w:rsidRPr="005B6F72">
              <w:rPr>
                <w:caps w:val="0"/>
                <w:color w:val="2F5496" w:themeColor="accent5" w:themeShade="BF"/>
                <w:sz w:val="22"/>
                <w:szCs w:val="22"/>
              </w:rPr>
              <w:t>unio</w:t>
            </w:r>
            <w:r>
              <w:rPr>
                <w:caps w:val="0"/>
                <w:color w:val="2F5496" w:themeColor="accent5" w:themeShade="BF"/>
                <w:sz w:val="22"/>
                <w:szCs w:val="22"/>
              </w:rPr>
              <w:t xml:space="preserve"> (02, 09, 16, 30)</w:t>
            </w:r>
          </w:p>
        </w:tc>
        <w:tc>
          <w:tcPr>
            <w:tcW w:w="1008" w:type="dxa"/>
            <w:vMerge/>
            <w:tcBorders>
              <w:left w:val="single" w:sz="4" w:space="0" w:color="D9D9D9" w:themeColor="background1" w:themeShade="D9"/>
              <w:right w:val="single" w:sz="2" w:space="0" w:color="E7E6E6" w:themeColor="background2"/>
            </w:tcBorders>
            <w:vAlign w:val="center"/>
          </w:tcPr>
          <w:p w14:paraId="0F7583C0"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2A4C1B9E"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vAlign w:val="center"/>
          </w:tcPr>
          <w:p w14:paraId="44CC3F16"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vAlign w:val="center"/>
          </w:tcPr>
          <w:p w14:paraId="6A9CFBCB"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vAlign w:val="center"/>
          </w:tcPr>
          <w:p w14:paraId="23747B8E"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1A6503" w:rsidRPr="00385B33" w14:paraId="088C21F6"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shd w:val="clear" w:color="auto" w:fill="F2F2F2" w:themeFill="background1" w:themeFillShade="F2"/>
            <w:vAlign w:val="center"/>
          </w:tcPr>
          <w:p w14:paraId="1FD54C7B"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J</w:t>
            </w:r>
            <w:r w:rsidRPr="005B6F72">
              <w:rPr>
                <w:caps w:val="0"/>
                <w:color w:val="2F5496" w:themeColor="accent5" w:themeShade="BF"/>
                <w:sz w:val="22"/>
                <w:szCs w:val="22"/>
              </w:rPr>
              <w:t>uli</w:t>
            </w:r>
            <w:r>
              <w:rPr>
                <w:caps w:val="0"/>
                <w:color w:val="2F5496" w:themeColor="accent5" w:themeShade="BF"/>
                <w:sz w:val="22"/>
                <w:szCs w:val="22"/>
              </w:rPr>
              <w:t xml:space="preserve">o (07, 21, 28) </w:t>
            </w:r>
          </w:p>
        </w:tc>
        <w:tc>
          <w:tcPr>
            <w:tcW w:w="1008" w:type="dxa"/>
            <w:vMerge/>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54E3D563"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shd w:val="clear" w:color="auto" w:fill="F2F2F2" w:themeFill="background1" w:themeFillShade="F2"/>
            <w:vAlign w:val="center"/>
          </w:tcPr>
          <w:p w14:paraId="437E147A"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shd w:val="clear" w:color="auto" w:fill="F2F2F2" w:themeFill="background1" w:themeFillShade="F2"/>
            <w:vAlign w:val="center"/>
          </w:tcPr>
          <w:p w14:paraId="56E45A2B"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shd w:val="clear" w:color="auto" w:fill="F2F2F2" w:themeFill="background1" w:themeFillShade="F2"/>
            <w:vAlign w:val="center"/>
          </w:tcPr>
          <w:p w14:paraId="11641943"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shd w:val="clear" w:color="auto" w:fill="F2F2F2" w:themeFill="background1" w:themeFillShade="F2"/>
            <w:vAlign w:val="center"/>
          </w:tcPr>
          <w:p w14:paraId="4829D98F"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A6503" w:rsidRPr="00385B33" w14:paraId="390EA9EC" w14:textId="77777777" w:rsidTr="001A650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02FF9A23"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A</w:t>
            </w:r>
            <w:r w:rsidRPr="005B6F72">
              <w:rPr>
                <w:caps w:val="0"/>
                <w:color w:val="2F5496" w:themeColor="accent5" w:themeShade="BF"/>
                <w:sz w:val="22"/>
                <w:szCs w:val="22"/>
              </w:rPr>
              <w:t>gosto</w:t>
            </w:r>
            <w:r>
              <w:rPr>
                <w:caps w:val="0"/>
                <w:color w:val="2F5496" w:themeColor="accent5" w:themeShade="BF"/>
                <w:sz w:val="22"/>
                <w:szCs w:val="22"/>
              </w:rPr>
              <w:t xml:space="preserve"> (11, 18 y 25) </w:t>
            </w:r>
          </w:p>
        </w:tc>
        <w:tc>
          <w:tcPr>
            <w:tcW w:w="1008" w:type="dxa"/>
            <w:vMerge/>
            <w:tcBorders>
              <w:left w:val="single" w:sz="4" w:space="0" w:color="D9D9D9" w:themeColor="background1" w:themeShade="D9"/>
              <w:right w:val="single" w:sz="2" w:space="0" w:color="E7E6E6" w:themeColor="background2"/>
            </w:tcBorders>
            <w:vAlign w:val="center"/>
          </w:tcPr>
          <w:p w14:paraId="22C8D3EF"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0D77398B"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vAlign w:val="center"/>
          </w:tcPr>
          <w:p w14:paraId="31E73914"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vAlign w:val="center"/>
          </w:tcPr>
          <w:p w14:paraId="0E8574DB"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vAlign w:val="center"/>
          </w:tcPr>
          <w:p w14:paraId="30E0BF11"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1A6503" w:rsidRPr="00385B33" w14:paraId="044F81A4"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shd w:val="clear" w:color="auto" w:fill="F2F2F2" w:themeFill="background1" w:themeFillShade="F2"/>
            <w:vAlign w:val="center"/>
          </w:tcPr>
          <w:p w14:paraId="029985CD" w14:textId="77777777" w:rsidR="001A6503" w:rsidRDefault="001A6503" w:rsidP="003C1A5A">
            <w:pPr>
              <w:pStyle w:val="dias"/>
              <w:spacing w:before="0"/>
              <w:rPr>
                <w:caps w:val="0"/>
                <w:color w:val="2F5496" w:themeColor="accent5" w:themeShade="BF"/>
                <w:sz w:val="22"/>
                <w:szCs w:val="22"/>
              </w:rPr>
            </w:pPr>
            <w:r>
              <w:rPr>
                <w:caps w:val="0"/>
                <w:color w:val="2F5496" w:themeColor="accent5" w:themeShade="BF"/>
                <w:sz w:val="22"/>
                <w:szCs w:val="22"/>
              </w:rPr>
              <w:t>Septiembre (1)</w:t>
            </w:r>
          </w:p>
        </w:tc>
        <w:tc>
          <w:tcPr>
            <w:tcW w:w="1008" w:type="dxa"/>
            <w:vMerge/>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56AEAC63"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shd w:val="clear" w:color="auto" w:fill="F2F2F2" w:themeFill="background1" w:themeFillShade="F2"/>
            <w:vAlign w:val="center"/>
          </w:tcPr>
          <w:p w14:paraId="06184489"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shd w:val="clear" w:color="auto" w:fill="F2F2F2" w:themeFill="background1" w:themeFillShade="F2"/>
            <w:vAlign w:val="center"/>
          </w:tcPr>
          <w:p w14:paraId="6C09FBD5"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shd w:val="clear" w:color="auto" w:fill="F2F2F2" w:themeFill="background1" w:themeFillShade="F2"/>
            <w:vAlign w:val="center"/>
          </w:tcPr>
          <w:p w14:paraId="560EFFD5"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shd w:val="clear" w:color="auto" w:fill="F2F2F2" w:themeFill="background1" w:themeFillShade="F2"/>
            <w:vAlign w:val="center"/>
          </w:tcPr>
          <w:p w14:paraId="1879661F"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A6503" w:rsidRPr="00385B33" w14:paraId="1BA36D4F" w14:textId="77777777" w:rsidTr="001A650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792D23E7"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 xml:space="preserve">Octubre (13) </w:t>
            </w:r>
          </w:p>
        </w:tc>
        <w:tc>
          <w:tcPr>
            <w:tcW w:w="1008" w:type="dxa"/>
            <w:vMerge/>
            <w:tcBorders>
              <w:left w:val="single" w:sz="4" w:space="0" w:color="D9D9D9" w:themeColor="background1" w:themeShade="D9"/>
              <w:right w:val="single" w:sz="2" w:space="0" w:color="E7E6E6" w:themeColor="background2"/>
            </w:tcBorders>
            <w:vAlign w:val="center"/>
          </w:tcPr>
          <w:p w14:paraId="53C73F04"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1DC95E16"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vAlign w:val="center"/>
          </w:tcPr>
          <w:p w14:paraId="512B3F78"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vAlign w:val="center"/>
          </w:tcPr>
          <w:p w14:paraId="032EB165"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vAlign w:val="center"/>
          </w:tcPr>
          <w:p w14:paraId="31581827"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1A6503" w:rsidRPr="00385B33" w14:paraId="5FA58579"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67A531B5" w14:textId="77777777" w:rsidR="001A6503" w:rsidRDefault="001A6503" w:rsidP="003C1A5A">
            <w:pPr>
              <w:pStyle w:val="dias"/>
              <w:spacing w:before="0"/>
              <w:rPr>
                <w:caps w:val="0"/>
                <w:color w:val="2F5496" w:themeColor="accent5" w:themeShade="BF"/>
                <w:sz w:val="22"/>
                <w:szCs w:val="22"/>
              </w:rPr>
            </w:pPr>
            <w:r>
              <w:rPr>
                <w:caps w:val="0"/>
                <w:color w:val="2F5496" w:themeColor="accent5" w:themeShade="BF"/>
                <w:sz w:val="22"/>
                <w:szCs w:val="22"/>
              </w:rPr>
              <w:t>Diciembre (22)</w:t>
            </w:r>
          </w:p>
        </w:tc>
        <w:tc>
          <w:tcPr>
            <w:tcW w:w="1008" w:type="dxa"/>
            <w:vMerge/>
            <w:tcBorders>
              <w:left w:val="single" w:sz="4" w:space="0" w:color="D9D9D9" w:themeColor="background1" w:themeShade="D9"/>
              <w:bottom w:val="single" w:sz="4" w:space="0" w:color="D9D9D9" w:themeColor="background1" w:themeShade="D9"/>
              <w:right w:val="single" w:sz="2" w:space="0" w:color="E7E6E6" w:themeColor="background2"/>
            </w:tcBorders>
            <w:shd w:val="clear" w:color="auto" w:fill="F2F2F2" w:themeFill="background1" w:themeFillShade="F2"/>
            <w:vAlign w:val="center"/>
          </w:tcPr>
          <w:p w14:paraId="4770EDE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bottom w:val="single" w:sz="4" w:space="0" w:color="D9D9D9" w:themeColor="background1" w:themeShade="D9"/>
            </w:tcBorders>
            <w:shd w:val="clear" w:color="auto" w:fill="F2F2F2" w:themeFill="background1" w:themeFillShade="F2"/>
            <w:vAlign w:val="center"/>
          </w:tcPr>
          <w:p w14:paraId="5264A2F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bottom w:val="single" w:sz="4" w:space="0" w:color="D9D9D9" w:themeColor="background1" w:themeShade="D9"/>
            </w:tcBorders>
            <w:shd w:val="clear" w:color="auto" w:fill="F2F2F2" w:themeFill="background1" w:themeFillShade="F2"/>
            <w:vAlign w:val="center"/>
          </w:tcPr>
          <w:p w14:paraId="79CDDAD0"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bottom w:val="single" w:sz="4" w:space="0" w:color="D9D9D9" w:themeColor="background1" w:themeShade="D9"/>
            </w:tcBorders>
            <w:shd w:val="clear" w:color="auto" w:fill="F2F2F2" w:themeFill="background1" w:themeFillShade="F2"/>
            <w:vAlign w:val="center"/>
          </w:tcPr>
          <w:p w14:paraId="69505705"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bottom w:val="single" w:sz="4" w:space="0" w:color="D9D9D9" w:themeColor="background1" w:themeShade="D9"/>
              <w:right w:val="single" w:sz="4" w:space="0" w:color="D9D9D9"/>
            </w:tcBorders>
            <w:shd w:val="clear" w:color="auto" w:fill="F2F2F2" w:themeFill="background1" w:themeFillShade="F2"/>
            <w:vAlign w:val="center"/>
          </w:tcPr>
          <w:p w14:paraId="4A274597"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10BFAAED" w14:textId="77777777" w:rsidR="001A6503" w:rsidRDefault="001A6503"/>
    <w:tbl>
      <w:tblPr>
        <w:tblStyle w:val="Tablanormal4"/>
        <w:tblW w:w="8635" w:type="dxa"/>
        <w:tblInd w:w="-5" w:type="dxa"/>
        <w:tblLook w:val="04A0" w:firstRow="1" w:lastRow="0" w:firstColumn="1" w:lastColumn="0" w:noHBand="0" w:noVBand="1"/>
      </w:tblPr>
      <w:tblGrid>
        <w:gridCol w:w="2675"/>
        <w:gridCol w:w="1008"/>
        <w:gridCol w:w="1134"/>
        <w:gridCol w:w="1656"/>
        <w:gridCol w:w="1182"/>
        <w:gridCol w:w="980"/>
      </w:tblGrid>
      <w:tr w:rsidR="001A6503" w:rsidRPr="001A5442" w14:paraId="375A02E9" w14:textId="77777777" w:rsidTr="001A6503">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75" w:type="dxa"/>
            <w:tcBorders>
              <w:top w:val="single" w:sz="4" w:space="0" w:color="D9D9D9"/>
              <w:left w:val="single" w:sz="4" w:space="0" w:color="D9D9D9"/>
              <w:right w:val="single" w:sz="4" w:space="0" w:color="D9D9D9"/>
            </w:tcBorders>
            <w:shd w:val="clear" w:color="auto" w:fill="auto"/>
            <w:vAlign w:val="center"/>
          </w:tcPr>
          <w:p w14:paraId="6BFE6811"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lastRenderedPageBreak/>
              <w:t>Junio (23)</w:t>
            </w:r>
          </w:p>
        </w:tc>
        <w:tc>
          <w:tcPr>
            <w:tcW w:w="1008" w:type="dxa"/>
            <w:vMerge w:val="restart"/>
            <w:tcBorders>
              <w:top w:val="single" w:sz="4" w:space="0" w:color="D9D9D9" w:themeColor="background1" w:themeShade="D9"/>
              <w:left w:val="single" w:sz="4" w:space="0" w:color="D9D9D9"/>
              <w:right w:val="single" w:sz="2" w:space="0" w:color="E7E6E6" w:themeColor="background2"/>
            </w:tcBorders>
            <w:shd w:val="clear" w:color="auto" w:fill="auto"/>
            <w:vAlign w:val="center"/>
          </w:tcPr>
          <w:p w14:paraId="19EB50B6"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1.839</w:t>
            </w:r>
          </w:p>
        </w:tc>
        <w:tc>
          <w:tcPr>
            <w:tcW w:w="1134" w:type="dxa"/>
            <w:vMerge w:val="restart"/>
            <w:tcBorders>
              <w:top w:val="single" w:sz="4" w:space="0" w:color="D9D9D9" w:themeColor="background1" w:themeShade="D9"/>
              <w:left w:val="single" w:sz="2" w:space="0" w:color="E7E6E6" w:themeColor="background2"/>
            </w:tcBorders>
            <w:shd w:val="clear" w:color="auto" w:fill="auto"/>
            <w:vAlign w:val="center"/>
          </w:tcPr>
          <w:p w14:paraId="73840565"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1.625</w:t>
            </w:r>
          </w:p>
        </w:tc>
        <w:tc>
          <w:tcPr>
            <w:tcW w:w="1656" w:type="dxa"/>
            <w:vMerge w:val="restart"/>
            <w:tcBorders>
              <w:top w:val="single" w:sz="4" w:space="0" w:color="D9D9D9" w:themeColor="background1" w:themeShade="D9"/>
              <w:left w:val="single" w:sz="2" w:space="0" w:color="E7E6E6" w:themeColor="background2"/>
            </w:tcBorders>
            <w:shd w:val="clear" w:color="auto" w:fill="auto"/>
            <w:vAlign w:val="center"/>
          </w:tcPr>
          <w:p w14:paraId="2ACFE522"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1.509</w:t>
            </w:r>
          </w:p>
        </w:tc>
        <w:tc>
          <w:tcPr>
            <w:tcW w:w="1182" w:type="dxa"/>
            <w:vMerge w:val="restart"/>
            <w:tcBorders>
              <w:top w:val="single" w:sz="4" w:space="0" w:color="D9D9D9" w:themeColor="background1" w:themeShade="D9"/>
              <w:left w:val="single" w:sz="2" w:space="0" w:color="E7E6E6" w:themeColor="background2"/>
            </w:tcBorders>
            <w:shd w:val="clear" w:color="auto" w:fill="auto"/>
            <w:vAlign w:val="center"/>
          </w:tcPr>
          <w:p w14:paraId="0496237F"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2.719</w:t>
            </w:r>
          </w:p>
        </w:tc>
        <w:tc>
          <w:tcPr>
            <w:tcW w:w="980" w:type="dxa"/>
            <w:vMerge w:val="restart"/>
            <w:tcBorders>
              <w:top w:val="single" w:sz="4" w:space="0" w:color="D9D9D9" w:themeColor="background1" w:themeShade="D9"/>
              <w:left w:val="single" w:sz="2" w:space="0" w:color="E7E6E6" w:themeColor="background2"/>
              <w:right w:val="single" w:sz="4" w:space="0" w:color="D9D9D9"/>
            </w:tcBorders>
            <w:shd w:val="clear" w:color="auto" w:fill="auto"/>
            <w:vAlign w:val="center"/>
          </w:tcPr>
          <w:p w14:paraId="0EDC5FF5"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929</w:t>
            </w:r>
          </w:p>
        </w:tc>
      </w:tr>
      <w:tr w:rsidR="001A6503" w:rsidRPr="001A5442" w14:paraId="77356DE8" w14:textId="77777777" w:rsidTr="001A650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132E745F"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t>Julio (14)</w:t>
            </w:r>
          </w:p>
        </w:tc>
        <w:tc>
          <w:tcPr>
            <w:tcW w:w="1008" w:type="dxa"/>
            <w:vMerge/>
            <w:tcBorders>
              <w:left w:val="single" w:sz="4" w:space="0" w:color="D9D9D9"/>
              <w:right w:val="single" w:sz="2" w:space="0" w:color="E7E6E6" w:themeColor="background2"/>
            </w:tcBorders>
            <w:shd w:val="clear" w:color="auto" w:fill="auto"/>
            <w:vAlign w:val="center"/>
          </w:tcPr>
          <w:p w14:paraId="78331E2D"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5C1990FE"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5BDC48CC"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2CE1A2DC"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6731A936"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1A6503" w:rsidRPr="001A5442" w14:paraId="23AD6FFD" w14:textId="77777777" w:rsidTr="001A6503">
        <w:trPr>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57C64FB2"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t>Agosto (04)</w:t>
            </w:r>
          </w:p>
        </w:tc>
        <w:tc>
          <w:tcPr>
            <w:tcW w:w="1008" w:type="dxa"/>
            <w:vMerge/>
            <w:tcBorders>
              <w:left w:val="single" w:sz="4" w:space="0" w:color="D9D9D9"/>
              <w:right w:val="single" w:sz="2" w:space="0" w:color="E7E6E6" w:themeColor="background2"/>
            </w:tcBorders>
            <w:shd w:val="clear" w:color="auto" w:fill="auto"/>
            <w:vAlign w:val="center"/>
          </w:tcPr>
          <w:p w14:paraId="6DEC4796"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1C834339"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72B6B3C0"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661AC8FB"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2C9D2551"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1A6503" w:rsidRPr="001A5442" w14:paraId="109C9E2A" w14:textId="77777777" w:rsidTr="001A650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4FAE1566"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t>Septiembre (08,15,22 y 29)</w:t>
            </w:r>
          </w:p>
        </w:tc>
        <w:tc>
          <w:tcPr>
            <w:tcW w:w="1008" w:type="dxa"/>
            <w:vMerge/>
            <w:tcBorders>
              <w:left w:val="single" w:sz="4" w:space="0" w:color="D9D9D9"/>
              <w:right w:val="single" w:sz="2" w:space="0" w:color="E7E6E6" w:themeColor="background2"/>
            </w:tcBorders>
            <w:shd w:val="clear" w:color="auto" w:fill="auto"/>
            <w:vAlign w:val="center"/>
          </w:tcPr>
          <w:p w14:paraId="6477D7BF"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649CB797"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6B3C09B3"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794CFCCD"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198B5084"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1A6503" w:rsidRPr="001A5442" w14:paraId="281D6E35" w14:textId="77777777" w:rsidTr="001A6503">
        <w:trPr>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636C6C4D" w14:textId="77777777" w:rsidR="001A6503" w:rsidRPr="00502908" w:rsidRDefault="001A6503" w:rsidP="003C1A5A">
            <w:pPr>
              <w:pStyle w:val="dias"/>
              <w:spacing w:before="0"/>
              <w:rPr>
                <w:caps w:val="0"/>
                <w:color w:val="2F5496" w:themeColor="accent5" w:themeShade="BF"/>
                <w:sz w:val="22"/>
                <w:szCs w:val="22"/>
              </w:rPr>
            </w:pPr>
            <w:r w:rsidRPr="00D57467">
              <w:rPr>
                <w:caps w:val="0"/>
                <w:color w:val="2F5496" w:themeColor="accent5" w:themeShade="BF"/>
                <w:sz w:val="22"/>
                <w:szCs w:val="22"/>
                <w:lang w:val="pt-BR"/>
              </w:rPr>
              <w:t>Octubre (</w:t>
            </w:r>
            <w:r>
              <w:rPr>
                <w:caps w:val="0"/>
                <w:color w:val="2F5496" w:themeColor="accent5" w:themeShade="BF"/>
                <w:sz w:val="22"/>
                <w:szCs w:val="22"/>
                <w:lang w:val="pt-BR"/>
              </w:rPr>
              <w:t>0</w:t>
            </w:r>
            <w:r w:rsidRPr="00D57467">
              <w:rPr>
                <w:caps w:val="0"/>
                <w:color w:val="2F5496" w:themeColor="accent5" w:themeShade="BF"/>
                <w:sz w:val="22"/>
                <w:szCs w:val="22"/>
                <w:lang w:val="pt-BR"/>
              </w:rPr>
              <w:t>6)</w:t>
            </w:r>
          </w:p>
        </w:tc>
        <w:tc>
          <w:tcPr>
            <w:tcW w:w="1008" w:type="dxa"/>
            <w:vMerge/>
            <w:tcBorders>
              <w:left w:val="single" w:sz="4" w:space="0" w:color="D9D9D9"/>
              <w:right w:val="single" w:sz="2" w:space="0" w:color="E7E6E6" w:themeColor="background2"/>
            </w:tcBorders>
            <w:shd w:val="clear" w:color="auto" w:fill="auto"/>
            <w:vAlign w:val="center"/>
          </w:tcPr>
          <w:p w14:paraId="5183A4E8"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425A3771"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1A0DB7C1"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1B4F2874"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46CFAC9A"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1A6503" w:rsidRPr="00385B33" w14:paraId="76A89023" w14:textId="77777777" w:rsidTr="001A650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75" w:type="dxa"/>
            <w:tcBorders>
              <w:left w:val="single" w:sz="2" w:space="0" w:color="E7E6E6" w:themeColor="background2"/>
              <w:right w:val="single" w:sz="2" w:space="0" w:color="E7E6E6" w:themeColor="background2"/>
            </w:tcBorders>
            <w:shd w:val="clear" w:color="auto" w:fill="0C4870"/>
            <w:vAlign w:val="center"/>
          </w:tcPr>
          <w:p w14:paraId="0C19AE11" w14:textId="77777777" w:rsidR="001A6503" w:rsidRPr="00395C83" w:rsidRDefault="001A6503" w:rsidP="003C1A5A">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008" w:type="dxa"/>
            <w:tcBorders>
              <w:left w:val="single" w:sz="2" w:space="0" w:color="E7E6E6" w:themeColor="background2"/>
              <w:right w:val="single" w:sz="2" w:space="0" w:color="E7E6E6" w:themeColor="background2"/>
            </w:tcBorders>
            <w:shd w:val="clear" w:color="auto" w:fill="0C4870"/>
            <w:vAlign w:val="center"/>
          </w:tcPr>
          <w:p w14:paraId="5037683D"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134" w:type="dxa"/>
            <w:tcBorders>
              <w:left w:val="single" w:sz="2" w:space="0" w:color="E7E6E6" w:themeColor="background2"/>
            </w:tcBorders>
            <w:shd w:val="clear" w:color="auto" w:fill="0C4870"/>
            <w:vAlign w:val="center"/>
          </w:tcPr>
          <w:p w14:paraId="78A6D07C"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56" w:type="dxa"/>
            <w:tcBorders>
              <w:left w:val="single" w:sz="2" w:space="0" w:color="E7E6E6" w:themeColor="background2"/>
            </w:tcBorders>
            <w:shd w:val="clear" w:color="auto" w:fill="0C4870"/>
            <w:vAlign w:val="center"/>
          </w:tcPr>
          <w:p w14:paraId="32992D91"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182" w:type="dxa"/>
            <w:tcBorders>
              <w:left w:val="single" w:sz="2" w:space="0" w:color="E7E6E6" w:themeColor="background2"/>
            </w:tcBorders>
            <w:shd w:val="clear" w:color="auto" w:fill="0C4870"/>
            <w:vAlign w:val="center"/>
          </w:tcPr>
          <w:p w14:paraId="3975EBB8"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980" w:type="dxa"/>
            <w:tcBorders>
              <w:left w:val="single" w:sz="2" w:space="0" w:color="E7E6E6" w:themeColor="background2"/>
              <w:right w:val="single" w:sz="4" w:space="0" w:color="D9D9D9"/>
            </w:tcBorders>
            <w:shd w:val="clear" w:color="auto" w:fill="0C4870"/>
            <w:vAlign w:val="center"/>
          </w:tcPr>
          <w:p w14:paraId="7BE0B5BA"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1A6503" w:rsidRPr="00385B33" w14:paraId="644585C7" w14:textId="77777777" w:rsidTr="001A6503">
        <w:trPr>
          <w:trHeight w:val="833"/>
        </w:trPr>
        <w:tc>
          <w:tcPr>
            <w:cnfStyle w:val="001000000000" w:firstRow="0" w:lastRow="0" w:firstColumn="1" w:lastColumn="0" w:oddVBand="0" w:evenVBand="0" w:oddHBand="0" w:evenHBand="0" w:firstRowFirstColumn="0" w:firstRowLastColumn="0" w:lastRowFirstColumn="0" w:lastRowLastColumn="0"/>
            <w:tcW w:w="2675"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BAE7A63" w14:textId="77777777" w:rsidR="001A6503" w:rsidRPr="005B6F72" w:rsidRDefault="001A6503" w:rsidP="003C1A5A">
            <w:pPr>
              <w:pStyle w:val="dias"/>
              <w:spacing w:before="0"/>
              <w:rPr>
                <w:caps w:val="0"/>
                <w:color w:val="2F5496" w:themeColor="accent5" w:themeShade="BF"/>
                <w:sz w:val="22"/>
                <w:szCs w:val="22"/>
              </w:rPr>
            </w:pPr>
            <w:r>
              <w:rPr>
                <w:caps w:val="0"/>
                <w:color w:val="2F5496" w:themeColor="accent5" w:themeShade="BF"/>
                <w:sz w:val="22"/>
                <w:szCs w:val="22"/>
              </w:rPr>
              <w:t>Marzo y abril</w:t>
            </w:r>
          </w:p>
        </w:tc>
        <w:tc>
          <w:tcPr>
            <w:tcW w:w="100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2F9A028E"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745</w:t>
            </w:r>
          </w:p>
        </w:tc>
        <w:tc>
          <w:tcPr>
            <w:tcW w:w="1134" w:type="dxa"/>
            <w:tcBorders>
              <w:left w:val="single" w:sz="2" w:space="0" w:color="E7E6E6" w:themeColor="background2"/>
            </w:tcBorders>
            <w:shd w:val="clear" w:color="auto" w:fill="F2F2F2" w:themeFill="background1" w:themeFillShade="F2"/>
            <w:vAlign w:val="center"/>
          </w:tcPr>
          <w:p w14:paraId="4260CC37"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565</w:t>
            </w:r>
          </w:p>
        </w:tc>
        <w:tc>
          <w:tcPr>
            <w:tcW w:w="1656" w:type="dxa"/>
            <w:tcBorders>
              <w:left w:val="single" w:sz="2" w:space="0" w:color="E7E6E6" w:themeColor="background2"/>
            </w:tcBorders>
            <w:shd w:val="clear" w:color="auto" w:fill="F2F2F2" w:themeFill="background1" w:themeFillShade="F2"/>
            <w:vAlign w:val="center"/>
          </w:tcPr>
          <w:p w14:paraId="16873087"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465</w:t>
            </w:r>
          </w:p>
        </w:tc>
        <w:tc>
          <w:tcPr>
            <w:tcW w:w="1182" w:type="dxa"/>
            <w:tcBorders>
              <w:left w:val="single" w:sz="2" w:space="0" w:color="E7E6E6" w:themeColor="background2"/>
            </w:tcBorders>
            <w:shd w:val="clear" w:color="auto" w:fill="F2F2F2" w:themeFill="background1" w:themeFillShade="F2"/>
            <w:vAlign w:val="center"/>
          </w:tcPr>
          <w:p w14:paraId="5B5D56A6"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2</w:t>
            </w:r>
            <w:r>
              <w:rPr>
                <w:rFonts w:ascii="Calibri" w:hAnsi="Calibri" w:cs="Calibri"/>
                <w:lang w:bidi="hi-IN"/>
              </w:rPr>
              <w:t>.</w:t>
            </w:r>
            <w:r w:rsidRPr="00D57467">
              <w:rPr>
                <w:rFonts w:ascii="Calibri" w:hAnsi="Calibri" w:cs="Calibri"/>
                <w:lang w:bidi="hi-IN"/>
              </w:rPr>
              <w:t>539</w:t>
            </w:r>
          </w:p>
        </w:tc>
        <w:tc>
          <w:tcPr>
            <w:tcW w:w="980" w:type="dxa"/>
            <w:tcBorders>
              <w:left w:val="single" w:sz="2" w:space="0" w:color="E7E6E6" w:themeColor="background2"/>
              <w:right w:val="single" w:sz="4" w:space="0" w:color="D9D9D9"/>
            </w:tcBorders>
            <w:shd w:val="clear" w:color="auto" w:fill="F2F2F2" w:themeFill="background1" w:themeFillShade="F2"/>
            <w:vAlign w:val="center"/>
          </w:tcPr>
          <w:p w14:paraId="26D21392"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929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7E58CA"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1E09CA2D" w:rsidR="00BE185A" w:rsidRP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 xml:space="preserve">Toronto </w:t>
            </w:r>
          </w:p>
        </w:tc>
        <w:tc>
          <w:tcPr>
            <w:tcW w:w="1985" w:type="dxa"/>
            <w:tcBorders>
              <w:bottom w:val="single" w:sz="4" w:space="0" w:color="D9D9D9"/>
            </w:tcBorders>
            <w:vAlign w:val="center"/>
          </w:tcPr>
          <w:p w14:paraId="680AE3C2" w14:textId="43800ACE" w:rsidR="00BE185A" w:rsidRPr="006E1756" w:rsidRDefault="00550178" w:rsidP="00BE1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780D2B01" w:rsidR="00BE185A" w:rsidRPr="000F2AA3" w:rsidRDefault="00550178" w:rsidP="00BE1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Chelsea Toronto Hotel</w:t>
            </w:r>
          </w:p>
        </w:tc>
      </w:tr>
      <w:tr w:rsidR="00550178" w:rsidRPr="00550178" w14:paraId="0C5BF1C6"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264453" w14:textId="2589182F" w:rsidR="00550178" w:rsidRPr="005C75D4"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3180470" w14:textId="17718324" w:rsidR="00550178"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1B6EFFE7" w14:textId="24FB69EC"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0178">
              <w:rPr>
                <w:rFonts w:ascii="Calibri" w:hAnsi="Calibri" w:cs="Calibri"/>
                <w:lang w:val="pt-BR" w:bidi="hi-IN"/>
              </w:rPr>
              <w:t xml:space="preserve">Wyndham Garden Niagara Falls </w:t>
            </w:r>
            <w:proofErr w:type="spellStart"/>
            <w:r w:rsidRPr="00550178">
              <w:rPr>
                <w:rFonts w:ascii="Calibri" w:hAnsi="Calibri" w:cs="Calibri"/>
                <w:lang w:val="pt-BR" w:bidi="hi-IN"/>
              </w:rPr>
              <w:t>Fallsview</w:t>
            </w:r>
            <w:proofErr w:type="spellEnd"/>
          </w:p>
        </w:tc>
      </w:tr>
      <w:tr w:rsidR="00550178" w:rsidRPr="00395C83" w14:paraId="1DDA7362"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20CE6853" w:rsidR="00550178" w:rsidRP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116F65B3" w14:textId="341AE869" w:rsidR="00550178" w:rsidRPr="006E1756"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7617500" w:rsidR="00550178" w:rsidRPr="00395C83"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 xml:space="preserve">Four Points Sheraton Gatinea-Ottawa </w:t>
            </w:r>
          </w:p>
        </w:tc>
      </w:tr>
      <w:tr w:rsidR="00550178" w:rsidRPr="00395C83" w14:paraId="7EAD802A"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903964F" w14:textId="300B5BDA" w:rsidR="00550178" w:rsidRPr="005C75D4" w:rsidRDefault="00550178" w:rsidP="00550178">
            <w:pPr>
              <w:pStyle w:val="dias"/>
              <w:spacing w:before="0"/>
              <w:jc w:val="center"/>
              <w:rPr>
                <w:caps w:val="0"/>
                <w:color w:val="2F5496" w:themeColor="accent5" w:themeShade="BF"/>
                <w:sz w:val="22"/>
                <w:szCs w:val="22"/>
              </w:rPr>
            </w:pPr>
            <w:r>
              <w:rPr>
                <w:caps w:val="0"/>
                <w:color w:val="2F5496" w:themeColor="accent5" w:themeShade="BF"/>
                <w:sz w:val="22"/>
                <w:szCs w:val="22"/>
              </w:rPr>
              <w:t>Mont Tremblant</w:t>
            </w:r>
          </w:p>
        </w:tc>
        <w:tc>
          <w:tcPr>
            <w:tcW w:w="1985" w:type="dxa"/>
            <w:tcBorders>
              <w:top w:val="single" w:sz="4" w:space="0" w:color="D9D9D9"/>
              <w:bottom w:val="single" w:sz="4" w:space="0" w:color="D9D9D9"/>
            </w:tcBorders>
            <w:vAlign w:val="center"/>
          </w:tcPr>
          <w:p w14:paraId="59AA3A3A" w14:textId="531CD64B" w:rsidR="00550178" w:rsidRPr="00BE185A"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288A1A1" w14:textId="33CF3E97"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0178">
              <w:rPr>
                <w:rFonts w:ascii="Calibri" w:hAnsi="Calibri" w:cs="Calibri"/>
                <w:lang w:val="pt-BR" w:bidi="hi-IN"/>
              </w:rPr>
              <w:t xml:space="preserve">Marriott </w:t>
            </w:r>
            <w:proofErr w:type="spellStart"/>
            <w:r w:rsidRPr="00550178">
              <w:rPr>
                <w:rFonts w:ascii="Calibri" w:hAnsi="Calibri" w:cs="Calibri"/>
                <w:lang w:val="pt-BR" w:bidi="hi-IN"/>
              </w:rPr>
              <w:t>Residence</w:t>
            </w:r>
            <w:proofErr w:type="spellEnd"/>
            <w:r w:rsidRPr="00550178">
              <w:rPr>
                <w:rFonts w:ascii="Calibri" w:hAnsi="Calibri" w:cs="Calibri"/>
                <w:lang w:val="pt-BR" w:bidi="hi-IN"/>
              </w:rPr>
              <w:t xml:space="preserve"> Inn</w:t>
            </w:r>
          </w:p>
        </w:tc>
      </w:tr>
      <w:tr w:rsidR="00550178" w:rsidRPr="00395C83" w14:paraId="18962FAC"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772D2B0" w14:textId="77777777" w:rsid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7C8F1510" w14:textId="1B0979BD" w:rsidR="00550178"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18280BF6" w14:textId="55900C4B" w:rsidR="00550178"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535FADAA" w14:textId="123481C6" w:rsidR="00550178" w:rsidRPr="00550178"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Le Classique Sainte-Foy</w:t>
            </w:r>
          </w:p>
        </w:tc>
      </w:tr>
      <w:tr w:rsidR="00550178" w:rsidRPr="00395C83" w14:paraId="0E73BDD9"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4177E317" w:rsidR="00550178" w:rsidRPr="005C75D4"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6075632A" w14:textId="0752C51C"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26A2E02" w14:textId="1950721B" w:rsidR="00550178" w:rsidRPr="00395C83"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25EA80E9" w:rsidR="00B3189C" w:rsidRPr="00D418C9" w:rsidRDefault="00B3189C" w:rsidP="00B3189C">
      <w:pPr>
        <w:pStyle w:val="vinetas"/>
        <w:spacing w:line="240" w:lineRule="auto"/>
        <w:jc w:val="both"/>
      </w:pPr>
      <w:r w:rsidRPr="00D418C9">
        <w:t xml:space="preserve">Al recibir </w:t>
      </w:r>
      <w:proofErr w:type="spellStart"/>
      <w:r w:rsidR="00C4694F">
        <w:t>Serviciosdeviajes</w:t>
      </w:r>
      <w:proofErr w:type="spellEnd"/>
      <w:r w:rsidRPr="00D418C9">
        <w:t xml:space="preserve"> el depósito que el pasajero entrega en la agencia de viajes, </w:t>
      </w:r>
      <w:proofErr w:type="spellStart"/>
      <w:r w:rsidR="00C4694F">
        <w:t>Serviciosdeviajes</w:t>
      </w:r>
      <w:proofErr w:type="spellEnd"/>
      <w:r w:rsidRPr="00D418C9">
        <w:t xml:space="preserve">. entiende que el pasajero se ha enterado y aceptado cada una de las </w:t>
      </w:r>
      <w:r w:rsidRPr="00D418C9">
        <w:lastRenderedPageBreak/>
        <w:t xml:space="preserve">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41FCAD24"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4694F">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270FB978"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C4694F" w:rsidRPr="004509FF">
          <w:rPr>
            <w:rStyle w:val="Hipervnculo"/>
          </w:rPr>
          <w:t>www.serviciosdeviajes.net</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30D5605F" w14:textId="77777777" w:rsidR="002B2A0A" w:rsidRDefault="002B2A0A" w:rsidP="00047BF8">
      <w:pPr>
        <w:spacing w:after="0"/>
        <w:rPr>
          <w:rFonts w:ascii="Century Gothic" w:hAnsi="Century Gothic" w:cs="Calibri"/>
          <w:b/>
          <w:bCs/>
          <w:color w:val="002060"/>
          <w:kern w:val="0"/>
          <w:lang w:bidi="hi-IN"/>
          <w14:ligatures w14:val="none"/>
        </w:rPr>
      </w:pPr>
    </w:p>
    <w:p w14:paraId="1DFE63BA" w14:textId="70BA2975"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lastRenderedPageBreak/>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206A876E" w14:textId="4A9223CB" w:rsidR="00C311F4" w:rsidRPr="00D418C9" w:rsidRDefault="00C311F4" w:rsidP="00C311F4">
      <w:pPr>
        <w:pStyle w:val="itinerario"/>
      </w:pPr>
      <w:r w:rsidRPr="00D418C9">
        <w:lastRenderedPageBreak/>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4694F">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2A4426B9"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C4694F">
        <w:t>Serviciosdeviajes</w:t>
      </w:r>
      <w:proofErr w:type="spellEnd"/>
      <w:r>
        <w:t xml:space="preserve"> 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lastRenderedPageBreak/>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7CC2072"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CANADÁ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lastRenderedPageBreak/>
        <w:drawing>
          <wp:inline distT="0" distB="0" distL="0" distR="0" wp14:anchorId="12025D4D" wp14:editId="6590ACB7">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BE07CCE" w14:textId="77777777" w:rsidR="004869B7" w:rsidRDefault="004869B7" w:rsidP="00202C64">
      <w:pPr>
        <w:spacing w:after="0"/>
        <w:rPr>
          <w:rFonts w:ascii="Century Gothic" w:hAnsi="Century Gothic" w:cs="Calibri"/>
          <w:b/>
          <w:bCs/>
          <w:color w:val="002060"/>
          <w:kern w:val="0"/>
          <w:lang w:bidi="hi-IN"/>
          <w14:ligatures w14:val="none"/>
        </w:rPr>
      </w:pPr>
    </w:p>
    <w:p w14:paraId="571293CF" w14:textId="5036A83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3F72D223" w14:textId="77777777" w:rsidR="00550178" w:rsidRDefault="00550178" w:rsidP="00B02D50">
      <w:pPr>
        <w:spacing w:after="0"/>
        <w:rPr>
          <w:rFonts w:ascii="Century Gothic" w:hAnsi="Century Gothic" w:cs="Calibri"/>
          <w:b/>
          <w:bCs/>
          <w:color w:val="002060"/>
          <w:kern w:val="0"/>
          <w:lang w:bidi="hi-IN"/>
          <w14:ligatures w14:val="none"/>
        </w:rPr>
      </w:pPr>
    </w:p>
    <w:p w14:paraId="6BC9C7C7" w14:textId="32F44F4C"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5523CEF9"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C4694F">
        <w:t>Serviciosdeviajes</w:t>
      </w:r>
      <w:proofErr w:type="spellEnd"/>
      <w:r w:rsidRPr="00D418C9">
        <w:t>. WhatsApp +57 31</w:t>
      </w:r>
      <w:r w:rsidR="00C4694F">
        <w:t>7</w:t>
      </w:r>
      <w:r w:rsidRPr="00D418C9">
        <w:t xml:space="preserve"> </w:t>
      </w:r>
      <w:r w:rsidR="00C4694F">
        <w:t>3757910</w:t>
      </w:r>
      <w:r w:rsidRPr="00D418C9">
        <w:t>.</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306B8D3A" w14:textId="77777777" w:rsidR="00C4694F" w:rsidRPr="00D418C9" w:rsidRDefault="00C4694F" w:rsidP="00C4694F">
      <w:pPr>
        <w:pStyle w:val="itinerario"/>
      </w:pPr>
      <w:r w:rsidRPr="00D418C9">
        <w:t>WhatsApp +57 31</w:t>
      </w:r>
      <w:r>
        <w:t>7</w:t>
      </w:r>
      <w:r w:rsidRPr="00D418C9">
        <w:t xml:space="preserve"> </w:t>
      </w:r>
      <w:r>
        <w:t>3757910</w:t>
      </w:r>
      <w:r w:rsidRPr="00D418C9">
        <w:t>.</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4AD58DB"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4694F">
        <w:t>Serviciosdeviajes</w:t>
      </w:r>
      <w:proofErr w:type="spellEnd"/>
      <w:r w:rsidR="00C4694F">
        <w:t xml:space="preserve"> </w:t>
      </w:r>
      <w:r>
        <w:t>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38C77070" w:rsidR="00691872" w:rsidRDefault="00691872" w:rsidP="00691872">
      <w:pPr>
        <w:pStyle w:val="itinerario"/>
      </w:pPr>
      <w:r>
        <w:t xml:space="preserve">Para garantizar la calidad y el cumplimiento de los servicios, los horarios de cada uno de los circuitos son muy estrictos y </w:t>
      </w:r>
      <w:proofErr w:type="spellStart"/>
      <w:r w:rsidR="00C4694F">
        <w:t>Serviciosdeviajes</w:t>
      </w:r>
      <w:proofErr w:type="spellEnd"/>
      <w:r>
        <w:t xml:space="preserve"> no asume ninguna responsabilidad en caso de retrasos generados por los pasajeros. </w:t>
      </w:r>
      <w:proofErr w:type="spellStart"/>
      <w:r w:rsidR="00C4694F">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0C4A2291" w:rsidR="00691872" w:rsidRDefault="00691872" w:rsidP="00691872">
      <w:pPr>
        <w:pStyle w:val="itinerario"/>
      </w:pPr>
      <w:r>
        <w:t xml:space="preserve">Para poderle asesorar correctamente, </w:t>
      </w:r>
      <w:proofErr w:type="spellStart"/>
      <w:r w:rsidR="00C4694F">
        <w:t>Serviciosdeviajes</w:t>
      </w:r>
      <w:proofErr w:type="spellEnd"/>
      <w:r w:rsidR="00C4694F">
        <w:t xml:space="preserve"> </w:t>
      </w:r>
      <w:r>
        <w:t xml:space="preserve">requiere de esa información. Por tratarse de datos personales sensibles, daremos aplicación a nuestra Política de tratamiento de datos personales que podrá consultar en nuestro sitio web: </w:t>
      </w:r>
      <w:hyperlink r:id="rId18" w:history="1">
        <w:r w:rsidR="00C4694F" w:rsidRPr="004509FF">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2519E57" w:rsidR="00691872" w:rsidRDefault="00C4694F"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338481C7" w:rsidR="00691872" w:rsidRDefault="00C4694F" w:rsidP="00691872">
      <w:pPr>
        <w:pStyle w:val="itinerario"/>
        <w:rPr>
          <w:lang w:eastAsia="es-CO"/>
        </w:rPr>
      </w:pPr>
      <w:r>
        <w:rPr>
          <w:b/>
          <w:lang w:eastAsia="es-CO"/>
        </w:rPr>
        <w:lastRenderedPageBreak/>
        <w:t>SERVICIOSDEVIAJES</w:t>
      </w:r>
      <w:r w:rsidR="00691872" w:rsidRPr="00B05D6E">
        <w:rPr>
          <w:b/>
          <w:lang w:eastAsia="es-CO"/>
        </w:rPr>
        <w:t>,</w:t>
      </w:r>
      <w:r w:rsidR="00691872">
        <w:rPr>
          <w:lang w:eastAsia="es-CO"/>
        </w:rPr>
        <w:t xml:space="preserve"> con Registro Nacional de Turismo </w:t>
      </w:r>
      <w:r w:rsidRPr="00C4694F">
        <w:rPr>
          <w:lang w:eastAsia="es-CO"/>
        </w:rPr>
        <w:t>No.36496</w:t>
      </w:r>
      <w:r w:rsidR="00691872">
        <w:rPr>
          <w:lang w:eastAsia="es-CO"/>
        </w:rPr>
        <w:t xml:space="preserve">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Pr="004509FF">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2077CD07" w:rsidR="00691872" w:rsidRDefault="00691872" w:rsidP="00691872">
      <w:pPr>
        <w:pStyle w:val="itinerario"/>
        <w:rPr>
          <w:lang w:eastAsia="es-CO"/>
        </w:rPr>
      </w:pPr>
      <w:r>
        <w:rPr>
          <w:lang w:eastAsia="es-CO"/>
        </w:rPr>
        <w:lastRenderedPageBreak/>
        <w:t xml:space="preserve">De ser permitido por la legislación vigente, </w:t>
      </w:r>
      <w:r w:rsidR="00C4694F">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0D9239A4" w:rsidR="00691872" w:rsidRDefault="00C4694F"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594275DA"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4694F">
        <w:rPr>
          <w:b/>
          <w:lang w:eastAsia="es-CO"/>
        </w:rPr>
        <w:t xml:space="preserve">SERVICIOSDEVIAJES </w:t>
      </w:r>
      <w:r>
        <w:rPr>
          <w:lang w:eastAsia="es-CO"/>
        </w:rPr>
        <w:t>no tiene ningún tipo de control o injerencia.</w:t>
      </w:r>
    </w:p>
    <w:p w14:paraId="39D040D4" w14:textId="395A7191" w:rsidR="00691872" w:rsidRDefault="00691872" w:rsidP="00691872">
      <w:pPr>
        <w:pStyle w:val="itinerario"/>
        <w:rPr>
          <w:lang w:eastAsia="es-CO"/>
        </w:rPr>
      </w:pPr>
      <w:r>
        <w:rPr>
          <w:lang w:eastAsia="es-CO"/>
        </w:rPr>
        <w:t xml:space="preserve">Por regla general, </w:t>
      </w:r>
      <w:r w:rsidR="00C4694F">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4694F">
        <w:rPr>
          <w:b/>
          <w:lang w:eastAsia="es-CO"/>
        </w:rPr>
        <w:t xml:space="preserve">SERVICIOSDEVIAJES </w:t>
      </w:r>
      <w:r>
        <w:rPr>
          <w:lang w:eastAsia="es-CO"/>
        </w:rPr>
        <w:t xml:space="preserve">gestionará ante los operadores del programa una solicitud de reembolso, lo cual no implica que </w:t>
      </w:r>
      <w:r w:rsidR="00C4694F">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4694F">
        <w:rPr>
          <w:b/>
          <w:lang w:eastAsia="es-CO"/>
        </w:rPr>
        <w:t xml:space="preserve">SERVICIOSDEVIAJES </w:t>
      </w:r>
      <w:r>
        <w:rPr>
          <w:lang w:eastAsia="es-CO"/>
        </w:rPr>
        <w:t xml:space="preserve">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40CBDA0A" w:rsidR="00691872" w:rsidRDefault="00C4694F"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26E3B412" w:rsidR="00691872" w:rsidRDefault="00691872" w:rsidP="00691872">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C4694F">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50F77A46" w:rsidR="00691872" w:rsidRDefault="00691872" w:rsidP="00691872">
      <w:pPr>
        <w:pStyle w:val="itinerario"/>
        <w:rPr>
          <w:lang w:eastAsia="es-CO"/>
        </w:rPr>
      </w:pPr>
      <w:r>
        <w:rPr>
          <w:lang w:eastAsia="es-CO"/>
        </w:rPr>
        <w:t xml:space="preserve">En el hecho de requerir visa para alguno de los itinerarios, </w:t>
      </w:r>
      <w:r w:rsidR="00C4694F">
        <w:rPr>
          <w:b/>
          <w:lang w:eastAsia="es-CO"/>
        </w:rPr>
        <w:t xml:space="preserve">SERVICOSDEVIAJES </w:t>
      </w:r>
      <w:r>
        <w:rPr>
          <w:lang w:eastAsia="es-CO"/>
        </w:rPr>
        <w:t>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4E273C49"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4694F">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721CB52"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4694F">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4694F">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D9DAB74" w:rsidR="00691872" w:rsidRDefault="00691872" w:rsidP="00691872">
      <w:pPr>
        <w:pStyle w:val="itinerario"/>
        <w:rPr>
          <w:lang w:eastAsia="es-CO"/>
        </w:rPr>
      </w:pPr>
      <w:r w:rsidRPr="00485096">
        <w:rPr>
          <w:b/>
          <w:lang w:eastAsia="es-CO"/>
        </w:rPr>
        <w:t xml:space="preserve">DERECHO AL RETRACTO. </w:t>
      </w:r>
      <w:r w:rsidR="00C4694F">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4A696AD5" w:rsidR="00691872" w:rsidRDefault="00691872" w:rsidP="00691872">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C4694F" w:rsidRPr="004509FF">
          <w:rPr>
            <w:rStyle w:val="Hipervnculo"/>
            <w:lang w:eastAsia="es-CO"/>
          </w:rPr>
          <w:t>www.serviciosdeviajes.net</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00910B85"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C4694F">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C4694F" w:rsidRPr="004509FF">
          <w:rPr>
            <w:rStyle w:val="Hipervnculo"/>
            <w:lang w:eastAsia="es-CO"/>
          </w:rPr>
          <w:t>www.serviciosdeviajes.net</w:t>
        </w:r>
      </w:hyperlink>
      <w:r w:rsidR="00C4694F">
        <w:rPr>
          <w:lang w:eastAsia="es-CO"/>
        </w:rPr>
        <w:t xml:space="preserve"> </w:t>
      </w:r>
      <w:r>
        <w:rPr>
          <w:lang w:eastAsia="es-CO"/>
        </w:rPr>
        <w:t>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07B6D643"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4694F">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5A81E844" w:rsidR="00691872" w:rsidRDefault="00C4694F"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33FA2979" w:rsidR="00691872" w:rsidRDefault="00C4694F"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36C968E8"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C4694F">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69D59D3A" w:rsidR="00691872" w:rsidRDefault="00C4694F"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05FEC429"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C4694F" w:rsidRPr="004509FF">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6A6A5C0"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4694F">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1218AB6E"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C4694F">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070D94A3" w:rsidR="00691872" w:rsidRDefault="00C4694F"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0897DDC4"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4694F">
        <w:rPr>
          <w:b/>
          <w:lang w:eastAsia="es-CO"/>
        </w:rPr>
        <w:t>SERVICIOSDEVIAJES</w:t>
      </w:r>
      <w:r>
        <w:rPr>
          <w:lang w:eastAsia="es-CO"/>
        </w:rPr>
        <w:t xml:space="preserve"> implementará mecanismo de debida diligencia para un conocimiento adecuado de los clientes. De igual manera, las agencias de viajes que adquieran los paquetes </w:t>
      </w:r>
      <w:r w:rsidR="00C4694F" w:rsidRPr="00C4694F">
        <w:rPr>
          <w:b/>
          <w:bCs/>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w:t>
      </w:r>
      <w:r>
        <w:rPr>
          <w:lang w:eastAsia="es-CO"/>
        </w:rPr>
        <w:lastRenderedPageBreak/>
        <w:t xml:space="preserve">respectiva y abstenerse de hacerla la venta al cliente. </w:t>
      </w:r>
      <w:r w:rsidR="00C4694F">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5BC7FA69"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4694F">
        <w:rPr>
          <w:b/>
          <w:lang w:eastAsia="es-CO"/>
        </w:rPr>
        <w:t>SERVICIOSDEVIAJES</w:t>
      </w:r>
      <w:r>
        <w:rPr>
          <w:lang w:eastAsia="es-CO"/>
        </w:rPr>
        <w:t xml:space="preserve"> y demás operadores. En caso de requerirlo, </w:t>
      </w:r>
      <w:r w:rsidR="00C4694F">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490BD254" w:rsidR="00691872" w:rsidRDefault="00691872" w:rsidP="00691872">
      <w:pPr>
        <w:pStyle w:val="itinerario"/>
      </w:pPr>
      <w:r>
        <w:t xml:space="preserve"> </w:t>
      </w:r>
      <w:r w:rsidR="00C4694F">
        <w:rPr>
          <w:b/>
        </w:rPr>
        <w:t>SERVICIOSDEVIAJES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08E7" w14:textId="77777777" w:rsidR="005E2559" w:rsidRDefault="005E2559" w:rsidP="00FB4065">
      <w:pPr>
        <w:spacing w:after="0" w:line="240" w:lineRule="auto"/>
      </w:pPr>
      <w:r>
        <w:separator/>
      </w:r>
    </w:p>
  </w:endnote>
  <w:endnote w:type="continuationSeparator" w:id="0">
    <w:p w14:paraId="2C7D7DDB" w14:textId="77777777" w:rsidR="005E2559" w:rsidRDefault="005E2559" w:rsidP="00FB4065">
      <w:pPr>
        <w:spacing w:after="0" w:line="240" w:lineRule="auto"/>
      </w:pPr>
      <w:r>
        <w:continuationSeparator/>
      </w:r>
    </w:p>
  </w:endnote>
  <w:endnote w:type="continuationNotice" w:id="1">
    <w:p w14:paraId="159B249F" w14:textId="77777777" w:rsidR="005E2559" w:rsidRDefault="005E2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1F0A15C" w:rsidR="00FB4065" w:rsidRPr="00FB4065" w:rsidRDefault="00166B80" w:rsidP="00FB4065">
          <w:pPr>
            <w:pStyle w:val="Piedepgina"/>
            <w:spacing w:before="80" w:after="80"/>
            <w:jc w:val="center"/>
            <w:rPr>
              <w:b/>
              <w:bCs/>
              <w:caps/>
              <w:color w:val="FFFFFF" w:themeColor="background1"/>
              <w:sz w:val="18"/>
              <w:szCs w:val="18"/>
            </w:rPr>
          </w:pPr>
          <w:r>
            <w:rPr>
              <w:b/>
              <w:bCs/>
              <w:caps/>
              <w:color w:val="FFFFFF" w:themeColor="background1"/>
              <w:sz w:val="18"/>
              <w:szCs w:val="18"/>
            </w:rPr>
            <w:t>CLÁSICO EXPRESO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E437" w14:textId="77777777" w:rsidR="005E2559" w:rsidRDefault="005E2559" w:rsidP="00FB4065">
      <w:pPr>
        <w:spacing w:after="0" w:line="240" w:lineRule="auto"/>
      </w:pPr>
      <w:r>
        <w:separator/>
      </w:r>
    </w:p>
  </w:footnote>
  <w:footnote w:type="continuationSeparator" w:id="0">
    <w:p w14:paraId="73FC6CE5" w14:textId="77777777" w:rsidR="005E2559" w:rsidRDefault="005E2559" w:rsidP="00FB4065">
      <w:pPr>
        <w:spacing w:after="0" w:line="240" w:lineRule="auto"/>
      </w:pPr>
      <w:r>
        <w:continuationSeparator/>
      </w:r>
    </w:p>
  </w:footnote>
  <w:footnote w:type="continuationNotice" w:id="1">
    <w:p w14:paraId="0064E2DB" w14:textId="77777777" w:rsidR="005E2559" w:rsidRDefault="005E25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5810ECA4"/>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2F74"/>
    <w:rsid w:val="001432A0"/>
    <w:rsid w:val="00144B5D"/>
    <w:rsid w:val="0014672E"/>
    <w:rsid w:val="00147F92"/>
    <w:rsid w:val="001511A6"/>
    <w:rsid w:val="0015456B"/>
    <w:rsid w:val="00156630"/>
    <w:rsid w:val="001616D3"/>
    <w:rsid w:val="00166B80"/>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A6503"/>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0F79"/>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2A0A"/>
    <w:rsid w:val="002B6F96"/>
    <w:rsid w:val="002C3244"/>
    <w:rsid w:val="002D0CDA"/>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34BF"/>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45E07"/>
    <w:rsid w:val="0045102D"/>
    <w:rsid w:val="0045609D"/>
    <w:rsid w:val="00457F6E"/>
    <w:rsid w:val="00462011"/>
    <w:rsid w:val="00462F6B"/>
    <w:rsid w:val="004653B3"/>
    <w:rsid w:val="00466841"/>
    <w:rsid w:val="00470B31"/>
    <w:rsid w:val="00475AB4"/>
    <w:rsid w:val="00480027"/>
    <w:rsid w:val="00481695"/>
    <w:rsid w:val="00483DFF"/>
    <w:rsid w:val="00484022"/>
    <w:rsid w:val="00484EC7"/>
    <w:rsid w:val="0048665F"/>
    <w:rsid w:val="004869B7"/>
    <w:rsid w:val="00487E70"/>
    <w:rsid w:val="00495417"/>
    <w:rsid w:val="00495869"/>
    <w:rsid w:val="00495D1C"/>
    <w:rsid w:val="00497E9B"/>
    <w:rsid w:val="004A19F1"/>
    <w:rsid w:val="004A2559"/>
    <w:rsid w:val="004A3F1A"/>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2908"/>
    <w:rsid w:val="00506D73"/>
    <w:rsid w:val="005134DF"/>
    <w:rsid w:val="005218F0"/>
    <w:rsid w:val="0052796F"/>
    <w:rsid w:val="00530306"/>
    <w:rsid w:val="00533874"/>
    <w:rsid w:val="00535CB8"/>
    <w:rsid w:val="00544A44"/>
    <w:rsid w:val="005450C9"/>
    <w:rsid w:val="00547E9D"/>
    <w:rsid w:val="00550178"/>
    <w:rsid w:val="005543D3"/>
    <w:rsid w:val="00556B10"/>
    <w:rsid w:val="00562E52"/>
    <w:rsid w:val="00563DB1"/>
    <w:rsid w:val="00565588"/>
    <w:rsid w:val="00566929"/>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38A2"/>
    <w:rsid w:val="005E2559"/>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0991"/>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5217"/>
    <w:rsid w:val="00711604"/>
    <w:rsid w:val="00713FF4"/>
    <w:rsid w:val="00714B4E"/>
    <w:rsid w:val="00734249"/>
    <w:rsid w:val="00735744"/>
    <w:rsid w:val="007367E2"/>
    <w:rsid w:val="00740C76"/>
    <w:rsid w:val="0074271F"/>
    <w:rsid w:val="00743A17"/>
    <w:rsid w:val="00747060"/>
    <w:rsid w:val="007515E1"/>
    <w:rsid w:val="00751F83"/>
    <w:rsid w:val="007525A6"/>
    <w:rsid w:val="00753C08"/>
    <w:rsid w:val="00756048"/>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430BE"/>
    <w:rsid w:val="00851FBC"/>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70D9D"/>
    <w:rsid w:val="00971AFD"/>
    <w:rsid w:val="00973C47"/>
    <w:rsid w:val="00974E9F"/>
    <w:rsid w:val="009759BB"/>
    <w:rsid w:val="00980382"/>
    <w:rsid w:val="00980441"/>
    <w:rsid w:val="00980DF3"/>
    <w:rsid w:val="009819DE"/>
    <w:rsid w:val="00987261"/>
    <w:rsid w:val="009953E7"/>
    <w:rsid w:val="009969A1"/>
    <w:rsid w:val="00997985"/>
    <w:rsid w:val="009A015B"/>
    <w:rsid w:val="009A3B75"/>
    <w:rsid w:val="009A5125"/>
    <w:rsid w:val="009A6AFA"/>
    <w:rsid w:val="009B3A93"/>
    <w:rsid w:val="009C2F54"/>
    <w:rsid w:val="009D0B06"/>
    <w:rsid w:val="009D6980"/>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16D2"/>
    <w:rsid w:val="00A558CC"/>
    <w:rsid w:val="00A56D0E"/>
    <w:rsid w:val="00A603A9"/>
    <w:rsid w:val="00A6149A"/>
    <w:rsid w:val="00A629A4"/>
    <w:rsid w:val="00A64582"/>
    <w:rsid w:val="00A65159"/>
    <w:rsid w:val="00A65A92"/>
    <w:rsid w:val="00A71559"/>
    <w:rsid w:val="00A80EBF"/>
    <w:rsid w:val="00A96B8B"/>
    <w:rsid w:val="00A9731D"/>
    <w:rsid w:val="00AA0272"/>
    <w:rsid w:val="00AA1480"/>
    <w:rsid w:val="00AA1D3C"/>
    <w:rsid w:val="00AC08C9"/>
    <w:rsid w:val="00AC1D0A"/>
    <w:rsid w:val="00AC5C46"/>
    <w:rsid w:val="00AC68FB"/>
    <w:rsid w:val="00AC6961"/>
    <w:rsid w:val="00AC7DFB"/>
    <w:rsid w:val="00AD019A"/>
    <w:rsid w:val="00AD0D55"/>
    <w:rsid w:val="00AD243E"/>
    <w:rsid w:val="00AD4829"/>
    <w:rsid w:val="00AD598C"/>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538DD"/>
    <w:rsid w:val="00B60ACB"/>
    <w:rsid w:val="00B64AD3"/>
    <w:rsid w:val="00B709B3"/>
    <w:rsid w:val="00B8605A"/>
    <w:rsid w:val="00B91A8C"/>
    <w:rsid w:val="00B91BBD"/>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694F"/>
    <w:rsid w:val="00C47BE1"/>
    <w:rsid w:val="00C55060"/>
    <w:rsid w:val="00C615BF"/>
    <w:rsid w:val="00C62530"/>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57467"/>
    <w:rsid w:val="00D61D5B"/>
    <w:rsid w:val="00D66189"/>
    <w:rsid w:val="00D67A10"/>
    <w:rsid w:val="00D67C86"/>
    <w:rsid w:val="00D70483"/>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C4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69694460">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67238794">
      <w:bodyDiv w:val="1"/>
      <w:marLeft w:val="0"/>
      <w:marRight w:val="0"/>
      <w:marTop w:val="0"/>
      <w:marBottom w:val="0"/>
      <w:divBdr>
        <w:top w:val="none" w:sz="0" w:space="0" w:color="auto"/>
        <w:left w:val="none" w:sz="0" w:space="0" w:color="auto"/>
        <w:bottom w:val="none" w:sz="0" w:space="0" w:color="auto"/>
        <w:right w:val="none" w:sz="0" w:space="0" w:color="auto"/>
      </w:divBdr>
    </w:div>
    <w:div w:id="490171364">
      <w:bodyDiv w:val="1"/>
      <w:marLeft w:val="0"/>
      <w:marRight w:val="0"/>
      <w:marTop w:val="0"/>
      <w:marBottom w:val="0"/>
      <w:divBdr>
        <w:top w:val="none" w:sz="0" w:space="0" w:color="auto"/>
        <w:left w:val="none" w:sz="0" w:space="0" w:color="auto"/>
        <w:bottom w:val="none" w:sz="0" w:space="0" w:color="auto"/>
        <w:right w:val="none" w:sz="0" w:space="0" w:color="auto"/>
      </w:divBdr>
    </w:div>
    <w:div w:id="490676779">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10399259">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92739821">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 w:id="1902789734">
      <w:bodyDiv w:val="1"/>
      <w:marLeft w:val="0"/>
      <w:marRight w:val="0"/>
      <w:marTop w:val="0"/>
      <w:marBottom w:val="0"/>
      <w:divBdr>
        <w:top w:val="none" w:sz="0" w:space="0" w:color="auto"/>
        <w:left w:val="none" w:sz="0" w:space="0" w:color="auto"/>
        <w:bottom w:val="none" w:sz="0" w:space="0" w:color="auto"/>
        <w:right w:val="none" w:sz="0" w:space="0" w:color="auto"/>
      </w:divBdr>
    </w:div>
    <w:div w:id="21079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net" TargetMode="External"/><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serviciosdeviajes.net" TargetMode="Externa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erviciosdeviaje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7201</Words>
  <Characters>39609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2025-05-27T19:40:00Z</dcterms:created>
  <dcterms:modified xsi:type="dcterms:W3CDTF">2025-05-27T19:40:00Z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